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D45326" w:rsidRPr="00D45326" w:rsidTr="00D45326">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45326" w:rsidRPr="00D45326">
              <w:trPr>
                <w:jc w:val="center"/>
              </w:trPr>
              <w:tc>
                <w:tcPr>
                  <w:tcW w:w="0" w:type="auto"/>
                  <w:shd w:val="clear" w:color="auto" w:fill="FFFFFF"/>
                  <w:vAlign w:val="center"/>
                  <w:hideMark/>
                </w:tcPr>
                <w:p w:rsidR="00D45326" w:rsidRPr="00D45326" w:rsidRDefault="00D45326" w:rsidP="00D45326">
                  <w:pPr>
                    <w:spacing w:after="0" w:line="510" w:lineRule="atLeast"/>
                    <w:jc w:val="center"/>
                    <w:rPr>
                      <w:rFonts w:ascii="Arial" w:eastAsia="Times New Roman" w:hAnsi="Arial" w:cs="Arial"/>
                      <w:b/>
                      <w:bCs/>
                      <w:color w:val="202020"/>
                      <w:sz w:val="51"/>
                      <w:szCs w:val="51"/>
                      <w:lang w:eastAsia="en-AU"/>
                    </w:rPr>
                  </w:pPr>
                  <w:r>
                    <w:rPr>
                      <w:rFonts w:ascii="Arial" w:eastAsia="Times New Roman" w:hAnsi="Arial" w:cs="Arial"/>
                      <w:b/>
                      <w:bCs/>
                      <w:noProof/>
                      <w:color w:val="202020"/>
                      <w:sz w:val="51"/>
                      <w:szCs w:val="51"/>
                      <w:lang w:eastAsia="en-AU"/>
                    </w:rPr>
                    <w:drawing>
                      <wp:inline distT="0" distB="0" distL="0" distR="0">
                        <wp:extent cx="5715000" cy="2581275"/>
                        <wp:effectExtent l="0" t="0" r="0" b="9525"/>
                        <wp:docPr id="4" name="Picture 4" descr="https://gallery.mailchimp.com/d7ac35d590989fce96f6014e9/images/bed454f5-374e-46e6-a733-ff8ea4318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bed454f5-374e-46e6-a733-ff8ea431817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tc>
            </w:tr>
          </w:tbl>
          <w:p w:rsidR="00D45326" w:rsidRPr="00D45326" w:rsidRDefault="00D45326" w:rsidP="00D45326">
            <w:pPr>
              <w:spacing w:after="0" w:line="240" w:lineRule="auto"/>
              <w:jc w:val="center"/>
              <w:rPr>
                <w:rFonts w:ascii="Times New Roman" w:eastAsia="Times New Roman" w:hAnsi="Times New Roman" w:cs="Times New Roman"/>
                <w:color w:val="000000"/>
                <w:sz w:val="27"/>
                <w:szCs w:val="27"/>
                <w:lang w:eastAsia="en-AU"/>
              </w:rPr>
            </w:pPr>
          </w:p>
        </w:tc>
      </w:tr>
      <w:tr w:rsidR="00D45326" w:rsidRPr="00D45326" w:rsidTr="00D4532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45326" w:rsidRPr="00D45326">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D45326" w:rsidRPr="00D45326">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D45326" w:rsidRPr="00D45326">
                          <w:tc>
                            <w:tcPr>
                              <w:tcW w:w="0" w:type="auto"/>
                              <w:hideMark/>
                            </w:tcPr>
                            <w:p w:rsidR="00D45326" w:rsidRPr="00D45326" w:rsidRDefault="00D45326" w:rsidP="00D45326">
                              <w:pPr>
                                <w:spacing w:after="150" w:line="510" w:lineRule="atLeast"/>
                                <w:outlineLvl w:val="0"/>
                                <w:rPr>
                                  <w:rFonts w:ascii="Arial" w:eastAsia="Times New Roman" w:hAnsi="Arial" w:cs="Arial"/>
                                  <w:color w:val="2A3994"/>
                                  <w:kern w:val="36"/>
                                  <w:sz w:val="51"/>
                                  <w:szCs w:val="51"/>
                                  <w:lang w:eastAsia="en-AU"/>
                                </w:rPr>
                              </w:pPr>
                              <w:r w:rsidRPr="00D45326">
                                <w:rPr>
                                  <w:rFonts w:ascii="Arial" w:eastAsia="Times New Roman" w:hAnsi="Arial" w:cs="Arial"/>
                                  <w:color w:val="2A3994"/>
                                  <w:kern w:val="36"/>
                                  <w:sz w:val="51"/>
                                  <w:szCs w:val="51"/>
                                  <w:lang w:eastAsia="en-AU"/>
                                </w:rPr>
                                <w:t>August 2015 Newsletter</w:t>
                              </w:r>
                            </w:p>
                            <w:p w:rsidR="00D45326" w:rsidRPr="00D45326" w:rsidRDefault="00D45326" w:rsidP="00D45326">
                              <w:pPr>
                                <w:spacing w:after="0" w:line="240" w:lineRule="auto"/>
                                <w:rPr>
                                  <w:rFonts w:ascii="Times New Roman" w:eastAsia="Times New Roman" w:hAnsi="Times New Roman" w:cs="Times New Roman"/>
                                  <w:sz w:val="24"/>
                                  <w:szCs w:val="24"/>
                                  <w:lang w:eastAsia="en-AU"/>
                                </w:rPr>
                              </w:pPr>
                              <w:r w:rsidRPr="00D45326">
                                <w:rPr>
                                  <w:rFonts w:ascii="Times New Roman" w:eastAsia="Times New Roman" w:hAnsi="Times New Roman" w:cs="Times New Roman"/>
                                  <w:color w:val="FFFFFF"/>
                                  <w:sz w:val="24"/>
                                  <w:szCs w:val="24"/>
                                  <w:lang w:eastAsia="en-AU"/>
                                </w:rPr>
                                <w:t>---</w:t>
                              </w:r>
                            </w:p>
                            <w:p w:rsidR="00D45326" w:rsidRPr="00D45326" w:rsidRDefault="00D45326" w:rsidP="00D45326">
                              <w:pPr>
                                <w:spacing w:after="150" w:line="510" w:lineRule="atLeast"/>
                                <w:outlineLvl w:val="0"/>
                                <w:rPr>
                                  <w:rFonts w:ascii="Arial" w:eastAsia="Times New Roman" w:hAnsi="Arial" w:cs="Arial"/>
                                  <w:color w:val="2A3994"/>
                                  <w:kern w:val="36"/>
                                  <w:sz w:val="51"/>
                                  <w:szCs w:val="51"/>
                                  <w:lang w:eastAsia="en-AU"/>
                                </w:rPr>
                              </w:pPr>
                              <w:r w:rsidRPr="00D45326">
                                <w:rPr>
                                  <w:rFonts w:ascii="Arial" w:eastAsia="Times New Roman" w:hAnsi="Arial" w:cs="Arial"/>
                                  <w:color w:val="2A3994"/>
                                  <w:kern w:val="36"/>
                                  <w:sz w:val="51"/>
                                  <w:szCs w:val="51"/>
                                  <w:lang w:eastAsia="en-AU"/>
                                </w:rPr>
                                <w:br/>
                              </w:r>
                              <w:r w:rsidRPr="00D45326">
                                <w:rPr>
                                  <w:rFonts w:ascii="Arial" w:eastAsia="Times New Roman" w:hAnsi="Arial" w:cs="Arial"/>
                                  <w:i/>
                                  <w:iCs/>
                                  <w:color w:val="000000"/>
                                  <w:kern w:val="36"/>
                                  <w:sz w:val="45"/>
                                  <w:szCs w:val="45"/>
                                  <w:u w:val="single"/>
                                  <w:lang w:eastAsia="en-AU"/>
                                </w:rPr>
                                <w:t>"Leg Pull?"</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i/>
                                  <w:iCs/>
                                  <w:color w:val="000000"/>
                                  <w:sz w:val="21"/>
                                  <w:szCs w:val="21"/>
                                  <w:lang w:eastAsia="en-AU"/>
                                </w:rPr>
                                <w:t>Clive Mills</w:t>
                              </w:r>
                              <w:r w:rsidRPr="00D45326">
                                <w:rPr>
                                  <w:rFonts w:ascii="Arial" w:eastAsia="Times New Roman" w:hAnsi="Arial" w:cs="Arial"/>
                                  <w:color w:val="000000"/>
                                  <w:sz w:val="21"/>
                                  <w:szCs w:val="21"/>
                                  <w:lang w:eastAsia="en-AU"/>
                                </w:rPr>
                                <w:br/>
                              </w:r>
                              <w:r w:rsidRPr="00D45326">
                                <w:rPr>
                                  <w:rFonts w:ascii="Arial" w:eastAsia="Times New Roman" w:hAnsi="Arial" w:cs="Arial"/>
                                  <w:color w:val="000000"/>
                                  <w:sz w:val="21"/>
                                  <w:szCs w:val="21"/>
                                  <w:lang w:eastAsia="en-AU"/>
                                </w:rPr>
                                <w:br/>
                                <w:t>The legal profession in Australia has generally been governed by separate State-based regulatory bodies, all of whom historically imposed their own rules and regulations in relation to the legal profession.</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In New South Wales, the Legal Services Commissioner and the Law Society of New South Wales have administered the rules and regulations and ensure that lawyers are competent and maintain high ethical and professional standards in the provision of legal services.</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Thanks to the considerable efforts of a number of Australian lawyers, attempts to make the laws, rules and regulations relating to the legal profession and lawyers throughout Australia uniform have made some progress in recent times in that the </w:t>
                              </w:r>
                              <w:r w:rsidRPr="00D45326">
                                <w:rPr>
                                  <w:rFonts w:ascii="Arial" w:eastAsia="Times New Roman" w:hAnsi="Arial" w:cs="Arial"/>
                                  <w:i/>
                                  <w:iCs/>
                                  <w:color w:val="000000"/>
                                  <w:sz w:val="21"/>
                                  <w:szCs w:val="21"/>
                                  <w:lang w:eastAsia="en-AU"/>
                                </w:rPr>
                                <w:t>Legal Profession Uniform Law</w:t>
                              </w:r>
                              <w:r w:rsidRPr="00D45326">
                                <w:rPr>
                                  <w:rFonts w:ascii="Arial" w:eastAsia="Times New Roman" w:hAnsi="Arial" w:cs="Arial"/>
                                  <w:color w:val="000000"/>
                                  <w:sz w:val="21"/>
                                  <w:szCs w:val="21"/>
                                  <w:lang w:eastAsia="en-AU"/>
                                </w:rPr>
                                <w:t> commenced on 1</w:t>
                              </w:r>
                              <w:r w:rsidRPr="00D45326">
                                <w:rPr>
                                  <w:rFonts w:ascii="Arial" w:eastAsia="Times New Roman" w:hAnsi="Arial" w:cs="Arial"/>
                                  <w:color w:val="000000"/>
                                  <w:sz w:val="21"/>
                                  <w:szCs w:val="21"/>
                                  <w:vertAlign w:val="superscript"/>
                                  <w:lang w:eastAsia="en-AU"/>
                                </w:rPr>
                                <w:t>st</w:t>
                              </w:r>
                              <w:r w:rsidRPr="00D45326">
                                <w:rPr>
                                  <w:rFonts w:ascii="Arial" w:eastAsia="Times New Roman" w:hAnsi="Arial" w:cs="Arial"/>
                                  <w:color w:val="000000"/>
                                  <w:sz w:val="21"/>
                                  <w:szCs w:val="21"/>
                                  <w:lang w:eastAsia="en-AU"/>
                                </w:rPr>
                                <w:t xml:space="preserve"> July 2015 and now applies to 70% of lawyers in Australia </w:t>
                              </w:r>
                              <w:r w:rsidRPr="00D45326">
                                <w:rPr>
                                  <w:rFonts w:ascii="Arial" w:eastAsia="Times New Roman" w:hAnsi="Arial" w:cs="Arial"/>
                                  <w:color w:val="000000"/>
                                  <w:sz w:val="21"/>
                                  <w:szCs w:val="21"/>
                                  <w:lang w:eastAsia="en-AU"/>
                                </w:rPr>
                                <w:lastRenderedPageBreak/>
                                <w:t>as it regulates the conduct of lawyers in New South Wales and Victoria.</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Most other States and Territories, with the exception of Western Australia, have indicated that they are likely to adopt the Legal Profession Uniform Law in the not too distant future.</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The new uniform scheme is designed to, and should, provide consumers of legal services with a regulatory scheme which is characterised by </w:t>
                              </w:r>
                              <w:r w:rsidRPr="00D45326">
                                <w:rPr>
                                  <w:rFonts w:ascii="Arial" w:eastAsia="Times New Roman" w:hAnsi="Arial" w:cs="Arial"/>
                                  <w:i/>
                                  <w:iCs/>
                                  <w:color w:val="000000"/>
                                  <w:sz w:val="21"/>
                                  <w:szCs w:val="21"/>
                                  <w:lang w:eastAsia="en-AU"/>
                                </w:rPr>
                                <w:t>consistency</w:t>
                              </w:r>
                              <w:r w:rsidRPr="00D45326">
                                <w:rPr>
                                  <w:rFonts w:ascii="Arial" w:eastAsia="Times New Roman" w:hAnsi="Arial" w:cs="Arial"/>
                                  <w:color w:val="000000"/>
                                  <w:sz w:val="21"/>
                                  <w:szCs w:val="21"/>
                                  <w:lang w:eastAsia="en-AU"/>
                                </w:rPr>
                                <w:t> in the law applying to the Australian legal profession and </w:t>
                              </w:r>
                              <w:r w:rsidRPr="00D45326">
                                <w:rPr>
                                  <w:rFonts w:ascii="Arial" w:eastAsia="Times New Roman" w:hAnsi="Arial" w:cs="Arial"/>
                                  <w:i/>
                                  <w:iCs/>
                                  <w:color w:val="000000"/>
                                  <w:sz w:val="21"/>
                                  <w:szCs w:val="21"/>
                                  <w:lang w:eastAsia="en-AU"/>
                                </w:rPr>
                                <w:t>accessibility</w:t>
                              </w:r>
                              <w:r w:rsidRPr="00D45326">
                                <w:rPr>
                                  <w:rFonts w:ascii="Arial" w:eastAsia="Times New Roman" w:hAnsi="Arial" w:cs="Arial"/>
                                  <w:color w:val="000000"/>
                                  <w:sz w:val="21"/>
                                  <w:szCs w:val="21"/>
                                  <w:lang w:eastAsia="en-AU"/>
                                </w:rPr>
                                <w:t> to competent legal services.</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The old </w:t>
                              </w:r>
                              <w:r w:rsidRPr="00D45326">
                                <w:rPr>
                                  <w:rFonts w:ascii="Arial" w:eastAsia="Times New Roman" w:hAnsi="Arial" w:cs="Arial"/>
                                  <w:i/>
                                  <w:iCs/>
                                  <w:color w:val="000000"/>
                                  <w:sz w:val="21"/>
                                  <w:szCs w:val="21"/>
                                  <w:lang w:eastAsia="en-AU"/>
                                </w:rPr>
                                <w:t>NSW Legal Profession Act</w:t>
                              </w:r>
                              <w:r w:rsidRPr="00D45326">
                                <w:rPr>
                                  <w:rFonts w:ascii="Arial" w:eastAsia="Times New Roman" w:hAnsi="Arial" w:cs="Arial"/>
                                  <w:color w:val="000000"/>
                                  <w:sz w:val="21"/>
                                  <w:szCs w:val="21"/>
                                  <w:lang w:eastAsia="en-AU"/>
                                </w:rPr>
                                <w:t>, the </w:t>
                              </w:r>
                              <w:r w:rsidRPr="00D45326">
                                <w:rPr>
                                  <w:rFonts w:ascii="Arial" w:eastAsia="Times New Roman" w:hAnsi="Arial" w:cs="Arial"/>
                                  <w:i/>
                                  <w:iCs/>
                                  <w:color w:val="000000"/>
                                  <w:sz w:val="21"/>
                                  <w:szCs w:val="21"/>
                                  <w:lang w:eastAsia="en-AU"/>
                                </w:rPr>
                                <w:t>NSW Legal Profession Regulations</w:t>
                              </w:r>
                              <w:r w:rsidRPr="00D45326">
                                <w:rPr>
                                  <w:rFonts w:ascii="Arial" w:eastAsia="Times New Roman" w:hAnsi="Arial" w:cs="Arial"/>
                                  <w:color w:val="000000"/>
                                  <w:sz w:val="21"/>
                                  <w:szCs w:val="21"/>
                                  <w:lang w:eastAsia="en-AU"/>
                                </w:rPr>
                                <w:t> and the </w:t>
                              </w:r>
                              <w:r w:rsidRPr="00D45326">
                                <w:rPr>
                                  <w:rFonts w:ascii="Arial" w:eastAsia="Times New Roman" w:hAnsi="Arial" w:cs="Arial"/>
                                  <w:i/>
                                  <w:iCs/>
                                  <w:color w:val="000000"/>
                                  <w:sz w:val="21"/>
                                  <w:szCs w:val="21"/>
                                  <w:lang w:eastAsia="en-AU"/>
                                </w:rPr>
                                <w:t>NSW Professional Conduct </w:t>
                              </w:r>
                              <w:r w:rsidRPr="00D45326">
                                <w:rPr>
                                  <w:rFonts w:ascii="Arial" w:eastAsia="Times New Roman" w:hAnsi="Arial" w:cs="Arial"/>
                                  <w:color w:val="000000"/>
                                  <w:sz w:val="21"/>
                                  <w:szCs w:val="21"/>
                                  <w:lang w:eastAsia="en-AU"/>
                                </w:rPr>
                                <w:t>and </w:t>
                              </w:r>
                              <w:r w:rsidRPr="00D45326">
                                <w:rPr>
                                  <w:rFonts w:ascii="Arial" w:eastAsia="Times New Roman" w:hAnsi="Arial" w:cs="Arial"/>
                                  <w:i/>
                                  <w:iCs/>
                                  <w:color w:val="000000"/>
                                  <w:sz w:val="21"/>
                                  <w:szCs w:val="21"/>
                                  <w:lang w:eastAsia="en-AU"/>
                                </w:rPr>
                                <w:t>Practice Rules 2013</w:t>
                              </w:r>
                              <w:r w:rsidRPr="00D45326">
                                <w:rPr>
                                  <w:rFonts w:ascii="Arial" w:eastAsia="Times New Roman" w:hAnsi="Arial" w:cs="Arial"/>
                                  <w:color w:val="000000"/>
                                  <w:sz w:val="21"/>
                                  <w:szCs w:val="21"/>
                                  <w:lang w:eastAsia="en-AU"/>
                                </w:rPr>
                                <w:t> (“</w:t>
                              </w:r>
                              <w:r w:rsidRPr="00D45326">
                                <w:rPr>
                                  <w:rFonts w:ascii="Arial" w:eastAsia="Times New Roman" w:hAnsi="Arial" w:cs="Arial"/>
                                  <w:i/>
                                  <w:iCs/>
                                  <w:color w:val="000000"/>
                                  <w:sz w:val="21"/>
                                  <w:szCs w:val="21"/>
                                  <w:lang w:eastAsia="en-AU"/>
                                </w:rPr>
                                <w:t>Solicitors’ Rules”</w:t>
                              </w:r>
                              <w:r w:rsidRPr="00D45326">
                                <w:rPr>
                                  <w:rFonts w:ascii="Arial" w:eastAsia="Times New Roman" w:hAnsi="Arial" w:cs="Arial"/>
                                  <w:color w:val="000000"/>
                                  <w:sz w:val="21"/>
                                  <w:szCs w:val="21"/>
                                  <w:lang w:eastAsia="en-AU"/>
                                </w:rPr>
                                <w:t>) all came to an end on 30</w:t>
                              </w:r>
                              <w:r w:rsidRPr="00D45326">
                                <w:rPr>
                                  <w:rFonts w:ascii="Arial" w:eastAsia="Times New Roman" w:hAnsi="Arial" w:cs="Arial"/>
                                  <w:color w:val="000000"/>
                                  <w:sz w:val="21"/>
                                  <w:szCs w:val="21"/>
                                  <w:vertAlign w:val="superscript"/>
                                  <w:lang w:eastAsia="en-AU"/>
                                </w:rPr>
                                <w:t>th</w:t>
                              </w:r>
                              <w:r w:rsidRPr="00D45326">
                                <w:rPr>
                                  <w:rFonts w:ascii="Arial" w:eastAsia="Times New Roman" w:hAnsi="Arial" w:cs="Arial"/>
                                  <w:color w:val="000000"/>
                                  <w:sz w:val="21"/>
                                  <w:szCs w:val="21"/>
                                  <w:lang w:eastAsia="en-AU"/>
                                </w:rPr>
                                <w:t> June 2015.</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The </w:t>
                              </w:r>
                              <w:r w:rsidRPr="00D45326">
                                <w:rPr>
                                  <w:rFonts w:ascii="Arial" w:eastAsia="Times New Roman" w:hAnsi="Arial" w:cs="Arial"/>
                                  <w:i/>
                                  <w:iCs/>
                                  <w:color w:val="000000"/>
                                  <w:sz w:val="21"/>
                                  <w:szCs w:val="21"/>
                                  <w:lang w:eastAsia="en-AU"/>
                                </w:rPr>
                                <w:t>Legal Profession Uniform Law 2015</w:t>
                              </w:r>
                              <w:r w:rsidRPr="00D45326">
                                <w:rPr>
                                  <w:rFonts w:ascii="Arial" w:eastAsia="Times New Roman" w:hAnsi="Arial" w:cs="Arial"/>
                                  <w:color w:val="000000"/>
                                  <w:sz w:val="21"/>
                                  <w:szCs w:val="21"/>
                                  <w:lang w:eastAsia="en-AU"/>
                                </w:rPr>
                                <w:t> (“</w:t>
                              </w:r>
                              <w:r w:rsidRPr="00D45326">
                                <w:rPr>
                                  <w:rFonts w:ascii="Arial" w:eastAsia="Times New Roman" w:hAnsi="Arial" w:cs="Arial"/>
                                  <w:i/>
                                  <w:iCs/>
                                  <w:color w:val="000000"/>
                                  <w:sz w:val="21"/>
                                  <w:szCs w:val="21"/>
                                  <w:lang w:eastAsia="en-AU"/>
                                </w:rPr>
                                <w:t>LPUL</w:t>
                              </w:r>
                              <w:r w:rsidRPr="00D45326">
                                <w:rPr>
                                  <w:rFonts w:ascii="Arial" w:eastAsia="Times New Roman" w:hAnsi="Arial" w:cs="Arial"/>
                                  <w:color w:val="000000"/>
                                  <w:sz w:val="21"/>
                                  <w:szCs w:val="21"/>
                                  <w:lang w:eastAsia="en-AU"/>
                                </w:rPr>
                                <w:t>”) has replaced the old legislation with associated legislation such as:-</w:t>
                              </w:r>
                              <w:r w:rsidRPr="00D45326">
                                <w:rPr>
                                  <w:rFonts w:ascii="Arial" w:eastAsia="Times New Roman" w:hAnsi="Arial" w:cs="Arial"/>
                                  <w:color w:val="000000"/>
                                  <w:sz w:val="21"/>
                                  <w:szCs w:val="21"/>
                                  <w:lang w:eastAsia="en-AU"/>
                                </w:rPr>
                                <w:br/>
                                <w:t> </w:t>
                              </w:r>
                            </w:p>
                            <w:p w:rsidR="00D45326" w:rsidRPr="00D45326" w:rsidRDefault="00D45326" w:rsidP="00D45326">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the</w:t>
                              </w:r>
                              <w:r w:rsidRPr="00D45326">
                                <w:rPr>
                                  <w:rFonts w:ascii="Arial" w:eastAsia="Times New Roman" w:hAnsi="Arial" w:cs="Arial"/>
                                  <w:i/>
                                  <w:iCs/>
                                  <w:color w:val="414141"/>
                                  <w:sz w:val="21"/>
                                  <w:szCs w:val="21"/>
                                  <w:lang w:eastAsia="en-AU"/>
                                </w:rPr>
                                <w:t> Legal Profession Uniform General Rules 2015</w:t>
                              </w:r>
                              <w:r w:rsidRPr="00D45326">
                                <w:rPr>
                                  <w:rFonts w:ascii="Arial" w:eastAsia="Times New Roman" w:hAnsi="Arial" w:cs="Arial"/>
                                  <w:color w:val="414141"/>
                                  <w:sz w:val="21"/>
                                  <w:szCs w:val="21"/>
                                  <w:lang w:eastAsia="en-AU"/>
                                </w:rPr>
                                <w:t> which will cover many of the items previously listed in </w:t>
                              </w:r>
                              <w:r w:rsidRPr="00D45326">
                                <w:rPr>
                                  <w:rFonts w:ascii="Arial" w:eastAsia="Times New Roman" w:hAnsi="Arial" w:cs="Arial"/>
                                  <w:i/>
                                  <w:iCs/>
                                  <w:color w:val="414141"/>
                                  <w:sz w:val="21"/>
                                  <w:szCs w:val="21"/>
                                  <w:lang w:eastAsia="en-AU"/>
                                </w:rPr>
                                <w:t>NSW Legal Profession Regulations</w:t>
                              </w:r>
                              <w:r w:rsidRPr="00D45326">
                                <w:rPr>
                                  <w:rFonts w:ascii="Arial" w:eastAsia="Times New Roman" w:hAnsi="Arial" w:cs="Arial"/>
                                  <w:color w:val="414141"/>
                                  <w:sz w:val="21"/>
                                  <w:szCs w:val="21"/>
                                  <w:lang w:eastAsia="en-AU"/>
                                </w:rPr>
                                <w:t>; and</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 </w:t>
                              </w:r>
                            </w:p>
                            <w:p w:rsidR="00D45326" w:rsidRPr="00D45326" w:rsidRDefault="00D45326" w:rsidP="00D45326">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proofErr w:type="gramStart"/>
                              <w:r w:rsidRPr="00D45326">
                                <w:rPr>
                                  <w:rFonts w:ascii="Arial" w:eastAsia="Times New Roman" w:hAnsi="Arial" w:cs="Arial"/>
                                  <w:color w:val="414141"/>
                                  <w:sz w:val="21"/>
                                  <w:szCs w:val="21"/>
                                  <w:lang w:eastAsia="en-AU"/>
                                </w:rPr>
                                <w:t>the</w:t>
                              </w:r>
                              <w:proofErr w:type="gramEnd"/>
                              <w:r w:rsidRPr="00D45326">
                                <w:rPr>
                                  <w:rFonts w:ascii="Arial" w:eastAsia="Times New Roman" w:hAnsi="Arial" w:cs="Arial"/>
                                  <w:color w:val="414141"/>
                                  <w:sz w:val="21"/>
                                  <w:szCs w:val="21"/>
                                  <w:lang w:eastAsia="en-AU"/>
                                </w:rPr>
                                <w:t> </w:t>
                              </w:r>
                              <w:r w:rsidRPr="00D45326">
                                <w:rPr>
                                  <w:rFonts w:ascii="Arial" w:eastAsia="Times New Roman" w:hAnsi="Arial" w:cs="Arial"/>
                                  <w:i/>
                                  <w:iCs/>
                                  <w:color w:val="414141"/>
                                  <w:sz w:val="21"/>
                                  <w:szCs w:val="21"/>
                                  <w:lang w:eastAsia="en-AU"/>
                                </w:rPr>
                                <w:t>Legal Profession Uniform Law Australian Solicitors’ Conduct Rules</w:t>
                              </w:r>
                              <w:r w:rsidRPr="00D45326">
                                <w:rPr>
                                  <w:rFonts w:ascii="Arial" w:eastAsia="Times New Roman" w:hAnsi="Arial" w:cs="Arial"/>
                                  <w:color w:val="414141"/>
                                  <w:sz w:val="21"/>
                                  <w:szCs w:val="21"/>
                                  <w:lang w:eastAsia="en-AU"/>
                                </w:rPr>
                                <w:t> which will incorporate many of the rules previously used.</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 </w:t>
                              </w:r>
                              <w:r w:rsidRPr="00D45326">
                                <w:rPr>
                                  <w:rFonts w:ascii="Arial" w:eastAsia="Times New Roman" w:hAnsi="Arial" w:cs="Arial"/>
                                  <w:color w:val="414141"/>
                                  <w:sz w:val="21"/>
                                  <w:szCs w:val="21"/>
                                  <w:lang w:eastAsia="en-AU"/>
                                </w:rPr>
                                <w:br/>
                                <w:t>A further intention of the new legislation is to:</w:t>
                              </w:r>
                              <w:r w:rsidRPr="00D45326">
                                <w:rPr>
                                  <w:rFonts w:ascii="Arial" w:eastAsia="Times New Roman" w:hAnsi="Arial" w:cs="Arial"/>
                                  <w:color w:val="414141"/>
                                  <w:sz w:val="21"/>
                                  <w:szCs w:val="21"/>
                                  <w:lang w:eastAsia="en-AU"/>
                                </w:rPr>
                                <w:br/>
                                <w:t> </w:t>
                              </w:r>
                            </w:p>
                            <w:p w:rsidR="00D45326" w:rsidRPr="00D45326" w:rsidRDefault="00D45326" w:rsidP="00D45326">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enhance the protection of clients of law practices and protection of the public generally; and</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 </w:t>
                              </w:r>
                            </w:p>
                            <w:p w:rsidR="00D45326" w:rsidRPr="00D45326" w:rsidRDefault="00D45326" w:rsidP="00D45326">
                              <w:pPr>
                                <w:numPr>
                                  <w:ilvl w:val="0"/>
                                  <w:numId w:val="4"/>
                                </w:numPr>
                                <w:spacing w:before="100" w:beforeAutospacing="1" w:after="100" w:afterAutospacing="1" w:line="315" w:lineRule="atLeast"/>
                                <w:rPr>
                                  <w:rFonts w:ascii="Arial" w:eastAsia="Times New Roman" w:hAnsi="Arial" w:cs="Arial"/>
                                  <w:color w:val="414141"/>
                                  <w:sz w:val="21"/>
                                  <w:szCs w:val="21"/>
                                  <w:lang w:eastAsia="en-AU"/>
                                </w:rPr>
                              </w:pPr>
                              <w:proofErr w:type="gramStart"/>
                              <w:r w:rsidRPr="00D45326">
                                <w:rPr>
                                  <w:rFonts w:ascii="Arial" w:eastAsia="Times New Roman" w:hAnsi="Arial" w:cs="Arial"/>
                                  <w:color w:val="414141"/>
                                  <w:sz w:val="21"/>
                                  <w:szCs w:val="21"/>
                                  <w:lang w:eastAsia="en-AU"/>
                                </w:rPr>
                                <w:t>empower</w:t>
                              </w:r>
                              <w:proofErr w:type="gramEnd"/>
                              <w:r w:rsidRPr="00D45326">
                                <w:rPr>
                                  <w:rFonts w:ascii="Arial" w:eastAsia="Times New Roman" w:hAnsi="Arial" w:cs="Arial"/>
                                  <w:color w:val="414141"/>
                                  <w:sz w:val="21"/>
                                  <w:szCs w:val="21"/>
                                  <w:lang w:eastAsia="en-AU"/>
                                </w:rPr>
                                <w:t xml:space="preserve"> clients of law practices to make informed choices about the services </w:t>
                              </w:r>
                              <w:r w:rsidRPr="00D45326">
                                <w:rPr>
                                  <w:rFonts w:ascii="Arial" w:eastAsia="Times New Roman" w:hAnsi="Arial" w:cs="Arial"/>
                                  <w:color w:val="414141"/>
                                  <w:sz w:val="21"/>
                                  <w:szCs w:val="21"/>
                                  <w:lang w:eastAsia="en-AU"/>
                                </w:rPr>
                                <w:lastRenderedPageBreak/>
                                <w:t>they access and the costs involved.</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color w:val="000000"/>
                                  <w:sz w:val="21"/>
                                  <w:szCs w:val="21"/>
                                  <w:lang w:eastAsia="en-AU"/>
                                </w:rPr>
                                <w:t> </w:t>
                              </w:r>
                              <w:r w:rsidRPr="00D45326">
                                <w:rPr>
                                  <w:rFonts w:ascii="Arial" w:eastAsia="Times New Roman" w:hAnsi="Arial" w:cs="Arial"/>
                                  <w:color w:val="000000"/>
                                  <w:sz w:val="21"/>
                                  <w:szCs w:val="21"/>
                                  <w:lang w:eastAsia="en-AU"/>
                                </w:rPr>
                                <w:br/>
                                <w:t>Members of the public should not be concerned about radical change occurring as there will be a significant degree of continuity from the previous regime.</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The advent of all new legislation, particularly where the name of a new piece of legislation comprises more than three or four words, usually gives rise, in time, to the adoption of a generally accepted acronym.</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At this early stage, no such acronym has yet emerged.</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Leading contenders, however, are (</w:t>
                              </w:r>
                              <w:r w:rsidRPr="00D45326">
                                <w:rPr>
                                  <w:rFonts w:ascii="Arial" w:eastAsia="Times New Roman" w:hAnsi="Arial" w:cs="Arial"/>
                                  <w:i/>
                                  <w:iCs/>
                                  <w:color w:val="000000"/>
                                  <w:sz w:val="21"/>
                                  <w:szCs w:val="21"/>
                                  <w:lang w:eastAsia="en-AU"/>
                                </w:rPr>
                                <w:t>“LPUL”)</w:t>
                              </w:r>
                              <w:r w:rsidRPr="00D45326">
                                <w:rPr>
                                  <w:rFonts w:ascii="Arial" w:eastAsia="Times New Roman" w:hAnsi="Arial" w:cs="Arial"/>
                                  <w:color w:val="000000"/>
                                  <w:sz w:val="21"/>
                                  <w:szCs w:val="21"/>
                                  <w:lang w:eastAsia="en-AU"/>
                                </w:rPr>
                                <w:t> and </w:t>
                              </w:r>
                              <w:r w:rsidRPr="00D45326">
                                <w:rPr>
                                  <w:rFonts w:ascii="Arial" w:eastAsia="Times New Roman" w:hAnsi="Arial" w:cs="Arial"/>
                                  <w:i/>
                                  <w:iCs/>
                                  <w:color w:val="000000"/>
                                  <w:sz w:val="21"/>
                                  <w:szCs w:val="21"/>
                                  <w:lang w:eastAsia="en-AU"/>
                                </w:rPr>
                                <w:t>(“LEGPUL”)</w:t>
                              </w:r>
                              <w:r w:rsidRPr="00D45326">
                                <w:rPr>
                                  <w:rFonts w:ascii="Arial" w:eastAsia="Times New Roman" w:hAnsi="Arial" w:cs="Arial"/>
                                  <w:color w:val="000000"/>
                                  <w:sz w:val="21"/>
                                  <w:szCs w:val="21"/>
                                  <w:lang w:eastAsia="en-AU"/>
                                </w:rPr>
                                <w:t>.</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The latter may prove to be easy to remember notwithstanding that the thought of someone </w:t>
                              </w:r>
                              <w:r w:rsidRPr="00D45326">
                                <w:rPr>
                                  <w:rFonts w:ascii="Arial" w:eastAsia="Times New Roman" w:hAnsi="Arial" w:cs="Arial"/>
                                  <w:i/>
                                  <w:iCs/>
                                  <w:color w:val="000000"/>
                                  <w:sz w:val="21"/>
                                  <w:szCs w:val="21"/>
                                  <w:lang w:eastAsia="en-AU"/>
                                </w:rPr>
                                <w:t>“having their leg pulled”</w:t>
                              </w:r>
                              <w:r w:rsidRPr="00D45326">
                                <w:rPr>
                                  <w:rFonts w:ascii="Arial" w:eastAsia="Times New Roman" w:hAnsi="Arial" w:cs="Arial"/>
                                  <w:color w:val="000000"/>
                                  <w:sz w:val="21"/>
                                  <w:szCs w:val="21"/>
                                  <w:lang w:eastAsia="en-AU"/>
                                </w:rPr>
                                <w:t> is most definitely not what the authors of the new regulatory legislative framework intend.</w:t>
                              </w:r>
                              <w:r w:rsidRPr="00D45326">
                                <w:rPr>
                                  <w:rFonts w:ascii="Arial" w:eastAsia="Times New Roman" w:hAnsi="Arial" w:cs="Arial"/>
                                  <w:color w:val="000000"/>
                                  <w:sz w:val="45"/>
                                  <w:szCs w:val="45"/>
                                  <w:lang w:eastAsia="en-AU"/>
                                </w:rPr>
                                <w:br/>
                              </w:r>
                              <w:r w:rsidRPr="00D45326">
                                <w:rPr>
                                  <w:rFonts w:ascii="Arial" w:eastAsia="Times New Roman" w:hAnsi="Arial" w:cs="Arial"/>
                                  <w:color w:val="000000"/>
                                  <w:sz w:val="45"/>
                                  <w:szCs w:val="45"/>
                                  <w:lang w:eastAsia="en-AU"/>
                                </w:rPr>
                                <w:br/>
                              </w:r>
                              <w:r w:rsidRPr="00D45326">
                                <w:rPr>
                                  <w:rFonts w:ascii="Arial" w:eastAsia="Times New Roman" w:hAnsi="Arial" w:cs="Arial"/>
                                  <w:color w:val="000000"/>
                                  <w:sz w:val="45"/>
                                  <w:szCs w:val="45"/>
                                  <w:lang w:eastAsia="en-AU"/>
                                </w:rPr>
                                <w:br/>
                              </w:r>
                              <w:r w:rsidRPr="00D45326">
                                <w:rPr>
                                  <w:rFonts w:ascii="Arial" w:eastAsia="Times New Roman" w:hAnsi="Arial" w:cs="Arial"/>
                                  <w:color w:val="000000"/>
                                  <w:sz w:val="45"/>
                                  <w:szCs w:val="45"/>
                                  <w:lang w:eastAsia="en-AU"/>
                                </w:rPr>
                                <w:br/>
                                <w:t>               </w:t>
                              </w:r>
                              <w:r>
                                <w:rPr>
                                  <w:rFonts w:ascii="Arial" w:eastAsia="Times New Roman" w:hAnsi="Arial" w:cs="Arial"/>
                                  <w:noProof/>
                                  <w:color w:val="000000"/>
                                  <w:sz w:val="45"/>
                                  <w:szCs w:val="45"/>
                                  <w:lang w:eastAsia="en-AU"/>
                                </w:rPr>
                                <w:drawing>
                                  <wp:inline distT="0" distB="0" distL="0" distR="0">
                                    <wp:extent cx="2857500" cy="1905000"/>
                                    <wp:effectExtent l="0" t="0" r="0" b="0"/>
                                    <wp:docPr id="3" name="Picture 3" descr="https://gallery.mailchimp.com/d7ac35d590989fce96f6014e9/images/a860ff05-1370-412e-9f01-7b1fbdb5a7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7ac35d590989fce96f6014e9/images/a860ff05-1370-412e-9f01-7b1fbdb5a7e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D45326">
                                <w:rPr>
                                  <w:rFonts w:ascii="Arial" w:eastAsia="Times New Roman" w:hAnsi="Arial" w:cs="Arial"/>
                                  <w:color w:val="000000"/>
                                  <w:sz w:val="45"/>
                                  <w:szCs w:val="45"/>
                                  <w:lang w:eastAsia="en-AU"/>
                                </w:rPr>
                                <w:br/>
                              </w:r>
                              <w:r w:rsidRPr="00D45326">
                                <w:rPr>
                                  <w:rFonts w:ascii="Arial" w:eastAsia="Times New Roman" w:hAnsi="Arial" w:cs="Arial"/>
                                  <w:color w:val="000000"/>
                                  <w:sz w:val="45"/>
                                  <w:szCs w:val="45"/>
                                  <w:lang w:eastAsia="en-AU"/>
                                </w:rPr>
                                <w:br/>
                              </w:r>
                              <w:r w:rsidRPr="00D45326">
                                <w:rPr>
                                  <w:rFonts w:ascii="Arial" w:eastAsia="Times New Roman" w:hAnsi="Arial" w:cs="Arial"/>
                                  <w:color w:val="000000"/>
                                  <w:sz w:val="45"/>
                                  <w:szCs w:val="45"/>
                                  <w:lang w:eastAsia="en-AU"/>
                                </w:rPr>
                                <w:br/>
                              </w:r>
                              <w:r w:rsidRPr="00D45326">
                                <w:rPr>
                                  <w:rFonts w:ascii="Arial" w:eastAsia="Times New Roman" w:hAnsi="Arial" w:cs="Arial"/>
                                  <w:color w:val="000000"/>
                                  <w:sz w:val="45"/>
                                  <w:szCs w:val="45"/>
                                  <w:lang w:eastAsia="en-AU"/>
                                </w:rPr>
                                <w:lastRenderedPageBreak/>
                                <w:br/>
                              </w:r>
                              <w:r w:rsidRPr="00D45326">
                                <w:rPr>
                                  <w:rFonts w:ascii="Arial" w:eastAsia="Times New Roman" w:hAnsi="Arial" w:cs="Arial"/>
                                  <w:color w:val="000000"/>
                                  <w:sz w:val="45"/>
                                  <w:szCs w:val="45"/>
                                  <w:lang w:eastAsia="en-AU"/>
                                </w:rPr>
                                <w:br/>
                              </w:r>
                              <w:r w:rsidRPr="00D45326">
                                <w:rPr>
                                  <w:rFonts w:ascii="Arial" w:eastAsia="Times New Roman" w:hAnsi="Arial" w:cs="Arial"/>
                                  <w:i/>
                                  <w:iCs/>
                                  <w:color w:val="000000"/>
                                  <w:sz w:val="45"/>
                                  <w:szCs w:val="45"/>
                                  <w:u w:val="single"/>
                                  <w:lang w:eastAsia="en-AU"/>
                                </w:rPr>
                                <w:t>Care arrangements for your children following separation</w:t>
                              </w:r>
                              <w:r w:rsidRPr="00D45326">
                                <w:rPr>
                                  <w:rFonts w:ascii="Arial" w:eastAsia="Times New Roman" w:hAnsi="Arial" w:cs="Arial"/>
                                  <w:color w:val="000000"/>
                                  <w:sz w:val="45"/>
                                  <w:szCs w:val="45"/>
                                  <w:lang w:eastAsia="en-AU"/>
                                </w:rPr>
                                <w:br/>
                              </w:r>
                              <w:r w:rsidRPr="00D45326">
                                <w:rPr>
                                  <w:rFonts w:ascii="Arial" w:eastAsia="Times New Roman" w:hAnsi="Arial" w:cs="Arial"/>
                                  <w:i/>
                                  <w:iCs/>
                                  <w:color w:val="000000"/>
                                  <w:sz w:val="21"/>
                                  <w:szCs w:val="21"/>
                                  <w:lang w:eastAsia="en-AU"/>
                                </w:rPr>
                                <w:t>Jacqueline Minors </w:t>
                              </w:r>
                              <w:r w:rsidRPr="00D45326">
                                <w:rPr>
                                  <w:rFonts w:ascii="Arial" w:eastAsia="Times New Roman" w:hAnsi="Arial" w:cs="Arial"/>
                                  <w:color w:val="000000"/>
                                  <w:sz w:val="21"/>
                                  <w:szCs w:val="21"/>
                                  <w:lang w:eastAsia="en-AU"/>
                                </w:rPr>
                                <w:br/>
                              </w:r>
                              <w:r w:rsidRPr="00D45326">
                                <w:rPr>
                                  <w:rFonts w:ascii="Arial" w:eastAsia="Times New Roman" w:hAnsi="Arial" w:cs="Arial"/>
                                  <w:color w:val="000000"/>
                                  <w:sz w:val="21"/>
                                  <w:szCs w:val="21"/>
                                  <w:lang w:eastAsia="en-AU"/>
                                </w:rPr>
                                <w:br/>
                                <w:t>It can be difficult to determine what care arrangements should be put in place for your child after a separation. Understandably, you want to ensure that the separation affects your child as little as possible and that your child can maintain a strong relationship with both parents without any detriment to them.</w:t>
                              </w:r>
                              <w:r w:rsidRPr="00D45326">
                                <w:rPr>
                                  <w:rFonts w:ascii="Arial" w:eastAsia="Times New Roman" w:hAnsi="Arial" w:cs="Arial"/>
                                  <w:color w:val="000000"/>
                                  <w:sz w:val="21"/>
                                  <w:szCs w:val="21"/>
                                  <w:lang w:eastAsia="en-AU"/>
                                </w:rPr>
                                <w:br/>
                              </w:r>
                              <w:r w:rsidRPr="00D45326">
                                <w:rPr>
                                  <w:rFonts w:ascii="Arial" w:eastAsia="Times New Roman" w:hAnsi="Arial" w:cs="Arial"/>
                                  <w:color w:val="000000"/>
                                  <w:sz w:val="21"/>
                                  <w:szCs w:val="21"/>
                                  <w:lang w:eastAsia="en-AU"/>
                                </w:rPr>
                                <w:br/>
                                <w:t>It can be difficult to achieve a balance of stability for your child whilst finding the most effective way to divide your child’s time between a new arrangement usually involving two separate households.</w:t>
                              </w:r>
                              <w:r w:rsidRPr="00D45326">
                                <w:rPr>
                                  <w:rFonts w:ascii="Arial" w:eastAsia="Times New Roman" w:hAnsi="Arial" w:cs="Arial"/>
                                  <w:color w:val="000000"/>
                                  <w:sz w:val="21"/>
                                  <w:szCs w:val="21"/>
                                  <w:lang w:eastAsia="en-AU"/>
                                </w:rPr>
                                <w:br/>
                              </w:r>
                              <w:r w:rsidRPr="00D45326">
                                <w:rPr>
                                  <w:rFonts w:ascii="Arial" w:eastAsia="Times New Roman" w:hAnsi="Arial" w:cs="Arial"/>
                                  <w:color w:val="000000"/>
                                  <w:sz w:val="21"/>
                                  <w:szCs w:val="21"/>
                                  <w:lang w:eastAsia="en-AU"/>
                                </w:rPr>
                                <w:br/>
                                <w:t>Either way, your decision must be made in consideration of your child’s needs and what will create the most stability for your child into the future.</w:t>
                              </w:r>
                              <w:r w:rsidRPr="00D45326">
                                <w:rPr>
                                  <w:rFonts w:ascii="Arial" w:eastAsia="Times New Roman" w:hAnsi="Arial" w:cs="Arial"/>
                                  <w:color w:val="000000"/>
                                  <w:sz w:val="21"/>
                                  <w:szCs w:val="21"/>
                                  <w:lang w:eastAsia="en-AU"/>
                                </w:rPr>
                                <w:br/>
                              </w:r>
                              <w:r w:rsidRPr="00D45326">
                                <w:rPr>
                                  <w:rFonts w:ascii="Arial" w:eastAsia="Times New Roman" w:hAnsi="Arial" w:cs="Arial"/>
                                  <w:color w:val="000000"/>
                                  <w:sz w:val="21"/>
                                  <w:szCs w:val="21"/>
                                  <w:lang w:eastAsia="en-AU"/>
                                </w:rPr>
                                <w:br/>
                                <w:t>But how do you achieve this?</w:t>
                              </w:r>
                              <w:r w:rsidRPr="00D45326">
                                <w:rPr>
                                  <w:rFonts w:ascii="Arial" w:eastAsia="Times New Roman" w:hAnsi="Arial" w:cs="Arial"/>
                                  <w:color w:val="000000"/>
                                  <w:sz w:val="21"/>
                                  <w:szCs w:val="21"/>
                                  <w:lang w:eastAsia="en-AU"/>
                                </w:rPr>
                                <w:br/>
                              </w:r>
                              <w:r w:rsidRPr="00D45326">
                                <w:rPr>
                                  <w:rFonts w:ascii="Arial" w:eastAsia="Times New Roman" w:hAnsi="Arial" w:cs="Arial"/>
                                  <w:color w:val="000000"/>
                                  <w:sz w:val="21"/>
                                  <w:szCs w:val="21"/>
                                  <w:lang w:eastAsia="en-AU"/>
                                </w:rPr>
                                <w:br/>
                                <w:t>The </w:t>
                              </w:r>
                              <w:r w:rsidRPr="00D45326">
                                <w:rPr>
                                  <w:rFonts w:ascii="Arial" w:eastAsia="Times New Roman" w:hAnsi="Arial" w:cs="Arial"/>
                                  <w:i/>
                                  <w:iCs/>
                                  <w:color w:val="000000"/>
                                  <w:sz w:val="21"/>
                                  <w:szCs w:val="21"/>
                                  <w:lang w:eastAsia="en-AU"/>
                                </w:rPr>
                                <w:t>Family Law Act</w:t>
                              </w:r>
                              <w:r w:rsidRPr="00D45326">
                                <w:rPr>
                                  <w:rFonts w:ascii="Arial" w:eastAsia="Times New Roman" w:hAnsi="Arial" w:cs="Arial"/>
                                  <w:color w:val="000000"/>
                                  <w:sz w:val="21"/>
                                  <w:szCs w:val="21"/>
                                  <w:lang w:eastAsia="en-AU"/>
                                </w:rPr>
                                <w:t> (“the Act”) states that the primary consideration must always be what is in </w:t>
                              </w:r>
                              <w:r w:rsidRPr="00D45326">
                                <w:rPr>
                                  <w:rFonts w:ascii="Arial" w:eastAsia="Times New Roman" w:hAnsi="Arial" w:cs="Arial"/>
                                  <w:i/>
                                  <w:iCs/>
                                  <w:color w:val="000000"/>
                                  <w:sz w:val="21"/>
                                  <w:szCs w:val="21"/>
                                  <w:lang w:eastAsia="en-AU"/>
                                </w:rPr>
                                <w:t>the best interests of the child</w:t>
                              </w:r>
                              <w:r w:rsidRPr="00D45326">
                                <w:rPr>
                                  <w:rFonts w:ascii="Arial" w:eastAsia="Times New Roman" w:hAnsi="Arial" w:cs="Arial"/>
                                  <w:color w:val="000000"/>
                                  <w:sz w:val="21"/>
                                  <w:szCs w:val="21"/>
                                  <w:lang w:eastAsia="en-AU"/>
                                </w:rPr>
                                <w:t xml:space="preserve">. The Act further </w:t>
                              </w:r>
                              <w:proofErr w:type="gramStart"/>
                              <w:r w:rsidRPr="00D45326">
                                <w:rPr>
                                  <w:rFonts w:ascii="Arial" w:eastAsia="Times New Roman" w:hAnsi="Arial" w:cs="Arial"/>
                                  <w:color w:val="000000"/>
                                  <w:sz w:val="21"/>
                                  <w:szCs w:val="21"/>
                                  <w:lang w:eastAsia="en-AU"/>
                                </w:rPr>
                                <w:t>sets</w:t>
                              </w:r>
                              <w:proofErr w:type="gramEnd"/>
                              <w:r w:rsidRPr="00D45326">
                                <w:rPr>
                                  <w:rFonts w:ascii="Arial" w:eastAsia="Times New Roman" w:hAnsi="Arial" w:cs="Arial"/>
                                  <w:color w:val="000000"/>
                                  <w:sz w:val="21"/>
                                  <w:szCs w:val="21"/>
                                  <w:lang w:eastAsia="en-AU"/>
                                </w:rPr>
                                <w:t xml:space="preserve"> out some matters that must be considered when determining what is in the best interests of a child. They include the following:-</w:t>
                              </w:r>
                              <w:r w:rsidRPr="00D45326">
                                <w:rPr>
                                  <w:rFonts w:ascii="Arial" w:eastAsia="Times New Roman" w:hAnsi="Arial" w:cs="Arial"/>
                                  <w:color w:val="000000"/>
                                  <w:sz w:val="21"/>
                                  <w:szCs w:val="21"/>
                                  <w:lang w:eastAsia="en-AU"/>
                                </w:rPr>
                                <w:br/>
                                <w:t>Primary Considerations:-</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 </w:t>
                              </w:r>
                            </w:p>
                            <w:p w:rsidR="00D45326" w:rsidRPr="00D45326" w:rsidRDefault="00D45326" w:rsidP="00D45326">
                              <w:pPr>
                                <w:numPr>
                                  <w:ilvl w:val="0"/>
                                  <w:numId w:val="5"/>
                                </w:numPr>
                                <w:spacing w:before="100" w:beforeAutospacing="1" w:after="100" w:afterAutospacing="1"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The need to protect a child from physical or psychological harm; and</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lastRenderedPageBreak/>
                                <w:t>     2.  The benefit of a child having a meaningful relationship with both parents.</w:t>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t>The need to protect a child from physical or psychological harm is the overriding consideration in circumstances where these two considerations are conflicting.</w:t>
                              </w:r>
                              <w:r w:rsidRPr="00D45326">
                                <w:rPr>
                                  <w:rFonts w:ascii="Arial" w:eastAsia="Times New Roman" w:hAnsi="Arial" w:cs="Arial"/>
                                  <w:color w:val="414141"/>
                                  <w:sz w:val="21"/>
                                  <w:szCs w:val="21"/>
                                  <w:lang w:eastAsia="en-AU"/>
                                </w:rPr>
                                <w:br/>
                                <w:t>Additional Considerations:-</w:t>
                              </w:r>
                              <w:r w:rsidRPr="00D45326">
                                <w:rPr>
                                  <w:rFonts w:ascii="Arial" w:eastAsia="Times New Roman" w:hAnsi="Arial" w:cs="Arial"/>
                                  <w:color w:val="414141"/>
                                  <w:sz w:val="21"/>
                                  <w:szCs w:val="21"/>
                                  <w:lang w:eastAsia="en-AU"/>
                                </w:rPr>
                                <w:br/>
                                <w:t> </w:t>
                              </w:r>
                            </w:p>
                            <w:p w:rsidR="00D45326" w:rsidRPr="00D45326" w:rsidRDefault="00D45326" w:rsidP="00D45326">
                              <w:pPr>
                                <w:numPr>
                                  <w:ilvl w:val="0"/>
                                  <w:numId w:val="6"/>
                                </w:numPr>
                                <w:spacing w:before="100" w:beforeAutospacing="1" w:after="100" w:afterAutospacing="1"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The nature of the relationship between the child and each parent as well as other relevant persons;</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br/>
                                <w:t>     2.  The views of your child (dependent upon the child's age and maturity);</w:t>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t>     3.  The likely effect of any changes in the child's circumstances;</w:t>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t>     4.  Capacity of each parent to provide for the needs of the child; and</w:t>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t>     5.  The practical difficulty and expense of spending time with the child.</w:t>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r>
                              <w:r w:rsidRPr="00D45326">
                                <w:rPr>
                                  <w:rFonts w:ascii="Arial" w:eastAsia="Times New Roman" w:hAnsi="Arial" w:cs="Arial"/>
                                  <w:color w:val="000000"/>
                                  <w:sz w:val="21"/>
                                  <w:szCs w:val="21"/>
                                  <w:lang w:eastAsia="en-AU"/>
                                </w:rPr>
                                <w:t>What is outlined above is not a complete list of the considerations set out in the Act, but provides a good basis upon which to start.</w:t>
                              </w:r>
                              <w:r w:rsidRPr="00D45326">
                                <w:rPr>
                                  <w:rFonts w:ascii="Arial" w:eastAsia="Times New Roman" w:hAnsi="Arial" w:cs="Arial"/>
                                  <w:color w:val="414141"/>
                                  <w:sz w:val="21"/>
                                  <w:szCs w:val="21"/>
                                  <w:lang w:eastAsia="en-AU"/>
                                </w:rPr>
                                <w:br/>
                                <w:t> </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color w:val="000000"/>
                                  <w:sz w:val="21"/>
                                  <w:szCs w:val="21"/>
                                  <w:lang w:eastAsia="en-AU"/>
                                </w:rPr>
                                <w:t>If you are having difficulty determining the care arrangements for your child following separation, we would be pleased to assist you and welcome your enquiries on (02) 9906 8188.</w:t>
                              </w:r>
                              <w:r w:rsidRPr="00D45326">
                                <w:rPr>
                                  <w:rFonts w:ascii="Arial" w:eastAsia="Times New Roman" w:hAnsi="Arial" w:cs="Arial"/>
                                  <w:color w:val="414141"/>
                                  <w:sz w:val="21"/>
                                  <w:szCs w:val="21"/>
                                  <w:lang w:eastAsia="en-AU"/>
                                </w:rPr>
                                <w:t> </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t> </w:t>
                              </w:r>
                            </w:p>
                          </w:tc>
                        </w:tr>
                      </w:tbl>
                      <w:p w:rsidR="00D45326" w:rsidRPr="00D45326" w:rsidRDefault="00D45326" w:rsidP="00D45326">
                        <w:pPr>
                          <w:spacing w:after="0" w:line="240" w:lineRule="auto"/>
                          <w:rPr>
                            <w:rFonts w:ascii="Times New Roman" w:eastAsia="Times New Roman" w:hAnsi="Times New Roman" w:cs="Times New Roman"/>
                            <w:sz w:val="24"/>
                            <w:szCs w:val="24"/>
                            <w:lang w:eastAsia="en-AU"/>
                          </w:rPr>
                        </w:pPr>
                      </w:p>
                    </w:tc>
                  </w:tr>
                  <w:tr w:rsidR="00D45326" w:rsidRPr="00D45326">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D45326" w:rsidRPr="00D45326">
                          <w:tc>
                            <w:tcPr>
                              <w:tcW w:w="0" w:type="auto"/>
                              <w:hideMark/>
                            </w:tcPr>
                            <w:p w:rsidR="00D45326" w:rsidRPr="00D45326" w:rsidRDefault="00D45326" w:rsidP="00D4532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5334000" cy="3552825"/>
                                    <wp:effectExtent l="0" t="0" r="0" b="9525"/>
                                    <wp:docPr id="2" name="Picture 2" descr="https://gallery.mailchimp.com/d7ac35d590989fce96f6014e9/images/dcbf210f-3f21-4bbb-9a10-4a383dd24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7ac35d590989fce96f6014e9/images/dcbf210f-3f21-4bbb-9a10-4a383dd243f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D45326" w:rsidRPr="00D45326" w:rsidRDefault="00D45326" w:rsidP="00D45326">
                              <w:pPr>
                                <w:spacing w:after="150" w:line="510" w:lineRule="atLeast"/>
                                <w:outlineLvl w:val="0"/>
                                <w:rPr>
                                  <w:rFonts w:ascii="Arial" w:eastAsia="Times New Roman" w:hAnsi="Arial" w:cs="Arial"/>
                                  <w:color w:val="2A3994"/>
                                  <w:kern w:val="36"/>
                                  <w:sz w:val="51"/>
                                  <w:szCs w:val="51"/>
                                  <w:lang w:eastAsia="en-AU"/>
                                </w:rPr>
                              </w:pPr>
                              <w:r w:rsidRPr="00D45326">
                                <w:rPr>
                                  <w:rFonts w:ascii="Arial" w:eastAsia="Times New Roman" w:hAnsi="Arial" w:cs="Arial"/>
                                  <w:color w:val="2A3994"/>
                                  <w:kern w:val="36"/>
                                  <w:sz w:val="51"/>
                                  <w:szCs w:val="51"/>
                                  <w:lang w:eastAsia="en-AU"/>
                                </w:rPr>
                                <w:br/>
                              </w:r>
                              <w:r w:rsidRPr="00D45326">
                                <w:rPr>
                                  <w:rFonts w:ascii="Arial" w:eastAsia="Times New Roman" w:hAnsi="Arial" w:cs="Arial"/>
                                  <w:color w:val="2A3994"/>
                                  <w:kern w:val="36"/>
                                  <w:sz w:val="51"/>
                                  <w:szCs w:val="51"/>
                                  <w:lang w:eastAsia="en-AU"/>
                                </w:rPr>
                                <w:br/>
                              </w:r>
                              <w:r w:rsidRPr="00D45326">
                                <w:rPr>
                                  <w:rFonts w:ascii="Arial" w:eastAsia="Times New Roman" w:hAnsi="Arial" w:cs="Arial"/>
                                  <w:color w:val="2A3994"/>
                                  <w:kern w:val="36"/>
                                  <w:sz w:val="51"/>
                                  <w:szCs w:val="51"/>
                                  <w:lang w:eastAsia="en-AU"/>
                                </w:rPr>
                                <w:br/>
                              </w:r>
                              <w:r w:rsidRPr="00D45326">
                                <w:rPr>
                                  <w:rFonts w:ascii="Arial" w:eastAsia="Times New Roman" w:hAnsi="Arial" w:cs="Arial"/>
                                  <w:color w:val="2A3994"/>
                                  <w:kern w:val="36"/>
                                  <w:sz w:val="51"/>
                                  <w:szCs w:val="51"/>
                                  <w:lang w:eastAsia="en-AU"/>
                                </w:rPr>
                                <w:br/>
                              </w:r>
                              <w:r w:rsidRPr="00D45326">
                                <w:rPr>
                                  <w:rFonts w:ascii="Arial" w:eastAsia="Times New Roman" w:hAnsi="Arial" w:cs="Arial"/>
                                  <w:color w:val="000000"/>
                                  <w:kern w:val="36"/>
                                  <w:sz w:val="45"/>
                                  <w:szCs w:val="45"/>
                                  <w:u w:val="single"/>
                                  <w:lang w:eastAsia="en-AU"/>
                                </w:rPr>
                                <w:t>"</w:t>
                              </w:r>
                              <w:r w:rsidRPr="00D45326">
                                <w:rPr>
                                  <w:rFonts w:ascii="Arial" w:eastAsia="Times New Roman" w:hAnsi="Arial" w:cs="Arial"/>
                                  <w:i/>
                                  <w:iCs/>
                                  <w:color w:val="000000"/>
                                  <w:kern w:val="36"/>
                                  <w:sz w:val="45"/>
                                  <w:szCs w:val="45"/>
                                  <w:u w:val="single"/>
                                  <w:lang w:eastAsia="en-AU"/>
                                </w:rPr>
                                <w:t>Two Small Steps for Women, But One Giant Leap for Womankind" </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i/>
                                  <w:iCs/>
                                  <w:color w:val="000000"/>
                                  <w:sz w:val="21"/>
                                  <w:szCs w:val="21"/>
                                  <w:lang w:eastAsia="en-AU"/>
                                </w:rPr>
                                <w:t>Ashley Rihak</w:t>
                              </w:r>
                              <w:r w:rsidRPr="00D45326">
                                <w:rPr>
                                  <w:rFonts w:ascii="Arial" w:eastAsia="Times New Roman" w:hAnsi="Arial" w:cs="Arial"/>
                                  <w:color w:val="000000"/>
                                  <w:sz w:val="21"/>
                                  <w:szCs w:val="21"/>
                                  <w:lang w:eastAsia="en-AU"/>
                                </w:rPr>
                                <w:br/>
                              </w:r>
                              <w:r w:rsidRPr="00D45326">
                                <w:rPr>
                                  <w:rFonts w:ascii="Arial" w:eastAsia="Times New Roman" w:hAnsi="Arial" w:cs="Arial"/>
                                  <w:color w:val="000000"/>
                                  <w:sz w:val="21"/>
                                  <w:szCs w:val="21"/>
                                  <w:lang w:eastAsia="en-AU"/>
                                </w:rPr>
                                <w:br/>
                                <w:t>Two exciting moments in legal history are the sealing of the Magna Carta in 1215, and the introduction of the first piece of legislation dealing with married women’s property rights in 1870. The Magna Carta is considered an icon of the concept of the rule of law, and married women’s property legislation (collectively, ‘the MWP Acts’) was introduced in both the United Kingdom and Australia to give married women legal rights in relation to property.</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 </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color w:val="000000"/>
                                  <w:sz w:val="21"/>
                                  <w:szCs w:val="21"/>
                                  <w:lang w:eastAsia="en-AU"/>
                                </w:rPr>
                                <w:lastRenderedPageBreak/>
                                <w:t>This article draws out two parallels between these foundational legal documents: their progress in empowering women in a legal context, and the conflicting motives and political turmoil found in their origins.</w:t>
                              </w:r>
                              <w:r w:rsidRPr="00D45326">
                                <w:rPr>
                                  <w:rFonts w:ascii="Arial" w:eastAsia="Times New Roman" w:hAnsi="Arial" w:cs="Arial"/>
                                  <w:color w:val="000000"/>
                                  <w:sz w:val="21"/>
                                  <w:szCs w:val="21"/>
                                  <w:lang w:eastAsia="en-AU"/>
                                </w:rPr>
                                <w:br/>
                                <w:t> </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b/>
                                  <w:bCs/>
                                  <w:i/>
                                  <w:iCs/>
                                  <w:color w:val="000000"/>
                                  <w:sz w:val="21"/>
                                  <w:szCs w:val="21"/>
                                  <w:lang w:eastAsia="en-AU"/>
                                </w:rPr>
                                <w:t>Legal Rights of Women</w:t>
                              </w:r>
                            </w:p>
                            <w:p w:rsidR="00D45326" w:rsidRPr="00D45326" w:rsidRDefault="00D45326" w:rsidP="00D45326">
                              <w:pPr>
                                <w:spacing w:after="150" w:line="450" w:lineRule="atLeast"/>
                                <w:jc w:val="center"/>
                                <w:outlineLvl w:val="1"/>
                                <w:rPr>
                                  <w:rFonts w:ascii="Arial" w:eastAsia="Times New Roman" w:hAnsi="Arial" w:cs="Arial"/>
                                  <w:color w:val="000000"/>
                                  <w:sz w:val="45"/>
                                  <w:szCs w:val="45"/>
                                  <w:lang w:eastAsia="en-AU"/>
                                </w:rPr>
                              </w:pPr>
                              <w:r w:rsidRPr="00D45326">
                                <w:rPr>
                                  <w:rFonts w:ascii="Arial" w:eastAsia="Times New Roman" w:hAnsi="Arial" w:cs="Arial"/>
                                  <w:b/>
                                  <w:bCs/>
                                  <w:color w:val="000000"/>
                                  <w:sz w:val="21"/>
                                  <w:szCs w:val="21"/>
                                  <w:lang w:eastAsia="en-AU"/>
                                </w:rPr>
                                <w:t> </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color w:val="000000"/>
                                  <w:sz w:val="21"/>
                                  <w:szCs w:val="21"/>
                                  <w:lang w:eastAsia="en-AU"/>
                                </w:rPr>
                                <w:t>Why would we consider the Magna Carta in the context of the legal rights of women? The text of the Magna Carta actually contains some unusual gems with respect to the rights of women, or more specifically the rights of widows. The Magna Carta provided in clause 7 that a widow could not be forced to remarry, so long as she preferred to remain single.</w:t>
                              </w:r>
                              <w:bookmarkStart w:id="0" w:name="_ftnref1"/>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"_ftn1"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[1</w:t>
                              </w:r>
                              <w:proofErr w:type="gramStart"/>
                              <w:r w:rsidRPr="00D45326">
                                <w:rPr>
                                  <w:rFonts w:ascii="Arial" w:eastAsia="Times New Roman" w:hAnsi="Arial" w:cs="Arial"/>
                                  <w:color w:val="2A3994"/>
                                  <w:sz w:val="21"/>
                                  <w:szCs w:val="21"/>
                                  <w:u w:val="single"/>
                                  <w:lang w:eastAsia="en-AU"/>
                                </w:rPr>
                                <w:t>]</w:t>
                              </w:r>
                              <w:proofErr w:type="gramEnd"/>
                              <w:r w:rsidRPr="00D45326">
                                <w:rPr>
                                  <w:rFonts w:ascii="Arial" w:eastAsia="Times New Roman" w:hAnsi="Arial" w:cs="Arial"/>
                                  <w:color w:val="000000"/>
                                  <w:sz w:val="21"/>
                                  <w:szCs w:val="21"/>
                                  <w:lang w:eastAsia="en-AU"/>
                                </w:rPr>
                                <w:fldChar w:fldCharType="end"/>
                              </w:r>
                              <w:bookmarkEnd w:id="0"/>
                              <w:r w:rsidRPr="00D45326">
                                <w:rPr>
                                  <w:rFonts w:ascii="Arial" w:eastAsia="Times New Roman" w:hAnsi="Arial" w:cs="Arial"/>
                                  <w:color w:val="000000"/>
                                  <w:sz w:val="21"/>
                                  <w:szCs w:val="21"/>
                                  <w:lang w:eastAsia="en-AU"/>
                                </w:rPr>
                                <w:t>Clause 8 further provided that a widow was entitled to an inheritance upon the death of her husband.</w:t>
                              </w:r>
                              <w:bookmarkStart w:id="1" w:name="_ftnref2"/>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"_ftn2"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[2]</w:t>
                              </w:r>
                              <w:r w:rsidRPr="00D45326">
                                <w:rPr>
                                  <w:rFonts w:ascii="Arial" w:eastAsia="Times New Roman" w:hAnsi="Arial" w:cs="Arial"/>
                                  <w:color w:val="000000"/>
                                  <w:sz w:val="21"/>
                                  <w:szCs w:val="21"/>
                                  <w:lang w:eastAsia="en-AU"/>
                                </w:rPr>
                                <w:fldChar w:fldCharType="end"/>
                              </w:r>
                              <w:bookmarkEnd w:id="1"/>
                              <w:r w:rsidRPr="00D45326">
                                <w:rPr>
                                  <w:rFonts w:ascii="Arial" w:eastAsia="Times New Roman" w:hAnsi="Arial" w:cs="Arial"/>
                                  <w:color w:val="000000"/>
                                  <w:sz w:val="21"/>
                                  <w:szCs w:val="21"/>
                                  <w:lang w:eastAsia="en-AU"/>
                                </w:rPr>
                                <w:t> Miller does note that these provisions were not really intended to benefit all women, but instead women of the aristocratic class.</w:t>
                              </w:r>
                              <w:bookmarkStart w:id="2" w:name="_ftnref3"/>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"_ftn3"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[3]</w:t>
                              </w:r>
                              <w:r w:rsidRPr="00D45326">
                                <w:rPr>
                                  <w:rFonts w:ascii="Arial" w:eastAsia="Times New Roman" w:hAnsi="Arial" w:cs="Arial"/>
                                  <w:color w:val="000000"/>
                                  <w:sz w:val="21"/>
                                  <w:szCs w:val="21"/>
                                  <w:lang w:eastAsia="en-AU"/>
                                </w:rPr>
                                <w:fldChar w:fldCharType="end"/>
                              </w:r>
                              <w:bookmarkEnd w:id="2"/>
                              <w:r w:rsidRPr="00D45326">
                                <w:rPr>
                                  <w:rFonts w:ascii="Arial" w:eastAsia="Times New Roman" w:hAnsi="Arial" w:cs="Arial"/>
                                  <w:color w:val="000000"/>
                                  <w:sz w:val="21"/>
                                  <w:szCs w:val="21"/>
                                  <w:lang w:eastAsia="en-AU"/>
                                </w:rPr>
                                <w:t> It is still interesting, however, to observe these provisions concerning women’s rights in such an early document as the Magna Carta.</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The MWP Acts which appeared over 600 years after the first sealing of the Magna Carta also made some substantial advances towards equality of women in the legal context. The first of these laws introduced in Australia were the </w:t>
                              </w:r>
                              <w:r w:rsidRPr="00D45326">
                                <w:rPr>
                                  <w:rFonts w:ascii="Arial" w:eastAsia="Times New Roman" w:hAnsi="Arial" w:cs="Arial"/>
                                  <w:i/>
                                  <w:iCs/>
                                  <w:color w:val="000000"/>
                                  <w:sz w:val="21"/>
                                  <w:szCs w:val="21"/>
                                  <w:lang w:eastAsia="en-AU"/>
                                </w:rPr>
                                <w:t>Married Women’s Property Act 1870 </w:t>
                              </w:r>
                              <w:r w:rsidRPr="00D45326">
                                <w:rPr>
                                  <w:rFonts w:ascii="Arial" w:eastAsia="Times New Roman" w:hAnsi="Arial" w:cs="Arial"/>
                                  <w:color w:val="000000"/>
                                  <w:sz w:val="21"/>
                                  <w:szCs w:val="21"/>
                                  <w:lang w:eastAsia="en-AU"/>
                                </w:rPr>
                                <w:t>(Vic) and the </w:t>
                              </w:r>
                              <w:r w:rsidRPr="00D45326">
                                <w:rPr>
                                  <w:rFonts w:ascii="Arial" w:eastAsia="Times New Roman" w:hAnsi="Arial" w:cs="Arial"/>
                                  <w:i/>
                                  <w:iCs/>
                                  <w:color w:val="000000"/>
                                  <w:sz w:val="21"/>
                                  <w:szCs w:val="21"/>
                                  <w:lang w:eastAsia="en-AU"/>
                                </w:rPr>
                                <w:t>Married Women’s Property Act 1879</w:t>
                              </w:r>
                              <w:r w:rsidRPr="00D45326">
                                <w:rPr>
                                  <w:rFonts w:ascii="Arial" w:eastAsia="Times New Roman" w:hAnsi="Arial" w:cs="Arial"/>
                                  <w:color w:val="000000"/>
                                  <w:sz w:val="21"/>
                                  <w:szCs w:val="21"/>
                                  <w:lang w:eastAsia="en-AU"/>
                                </w:rPr>
                                <w:t> (NSW). These followed the introduction of the first piece of such legislation in the United Kingdom, namely the</w:t>
                              </w:r>
                              <w:r w:rsidRPr="00D45326">
                                <w:rPr>
                                  <w:rFonts w:ascii="Arial" w:eastAsia="Times New Roman" w:hAnsi="Arial" w:cs="Arial"/>
                                  <w:i/>
                                  <w:iCs/>
                                  <w:color w:val="000000"/>
                                  <w:sz w:val="21"/>
                                  <w:szCs w:val="21"/>
                                  <w:lang w:eastAsia="en-AU"/>
                                </w:rPr>
                                <w:t>Married Women’s Property Act 1870 </w:t>
                              </w:r>
                              <w:r w:rsidRPr="00D45326">
                                <w:rPr>
                                  <w:rFonts w:ascii="Arial" w:eastAsia="Times New Roman" w:hAnsi="Arial" w:cs="Arial"/>
                                  <w:color w:val="000000"/>
                                  <w:sz w:val="21"/>
                                  <w:szCs w:val="21"/>
                                  <w:lang w:eastAsia="en-AU"/>
                                </w:rPr>
                                <w:t>(UK) (‘the UK Act’). It is these first pieces of married women’s property legislation that this article will consider.</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In the time before the MWP Acts were introduced, the legal position with respect to ownership of property by married women was that a married woman had no property rights at all. From a legal perspective a married woman and her husband were viewed as a single entity.</w:t>
                              </w:r>
                              <w:bookmarkStart w:id="3" w:name="_ftnref4"/>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"_ftn4"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[4]</w:t>
                              </w:r>
                              <w:r w:rsidRPr="00D45326">
                                <w:rPr>
                                  <w:rFonts w:ascii="Arial" w:eastAsia="Times New Roman" w:hAnsi="Arial" w:cs="Arial"/>
                                  <w:color w:val="000000"/>
                                  <w:sz w:val="21"/>
                                  <w:szCs w:val="21"/>
                                  <w:lang w:eastAsia="en-AU"/>
                                </w:rPr>
                                <w:fldChar w:fldCharType="end"/>
                              </w:r>
                              <w:bookmarkEnd w:id="3"/>
                              <w:r w:rsidRPr="00D45326">
                                <w:rPr>
                                  <w:rFonts w:ascii="Arial" w:eastAsia="Times New Roman" w:hAnsi="Arial" w:cs="Arial"/>
                                  <w:color w:val="000000"/>
                                  <w:sz w:val="21"/>
                                  <w:szCs w:val="21"/>
                                  <w:lang w:eastAsia="en-AU"/>
                                </w:rPr>
                                <w:t xml:space="preserve"> A married woman could not, for example, enter contracts, or sue or be </w:t>
                              </w:r>
                              <w:r w:rsidRPr="00D45326">
                                <w:rPr>
                                  <w:rFonts w:ascii="Arial" w:eastAsia="Times New Roman" w:hAnsi="Arial" w:cs="Arial"/>
                                  <w:color w:val="000000"/>
                                  <w:sz w:val="21"/>
                                  <w:szCs w:val="21"/>
                                  <w:lang w:eastAsia="en-AU"/>
                                </w:rPr>
                                <w:lastRenderedPageBreak/>
                                <w:t>sued, as she had no separate legal personality.</w:t>
                              </w:r>
                              <w:bookmarkStart w:id="4" w:name="_ftnref5"/>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"_ftn5"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[5]</w:t>
                              </w:r>
                              <w:r w:rsidRPr="00D45326">
                                <w:rPr>
                                  <w:rFonts w:ascii="Arial" w:eastAsia="Times New Roman" w:hAnsi="Arial" w:cs="Arial"/>
                                  <w:color w:val="000000"/>
                                  <w:sz w:val="21"/>
                                  <w:szCs w:val="21"/>
                                  <w:lang w:eastAsia="en-AU"/>
                                </w:rPr>
                                <w:fldChar w:fldCharType="end"/>
                              </w:r>
                              <w:bookmarkEnd w:id="4"/>
                              <w:r w:rsidRPr="00D45326">
                                <w:rPr>
                                  <w:rFonts w:ascii="Arial" w:eastAsia="Times New Roman" w:hAnsi="Arial" w:cs="Arial"/>
                                  <w:color w:val="000000"/>
                                  <w:sz w:val="21"/>
                                  <w:szCs w:val="21"/>
                                  <w:lang w:eastAsia="en-AU"/>
                                </w:rPr>
                                <w:t> The legal principles creating this position were known as ‘coverture’.</w:t>
                              </w:r>
                              <w:bookmarkStart w:id="5" w:name="_ftnref6"/>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"_ftn6"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[6]</w:t>
                              </w:r>
                              <w:r w:rsidRPr="00D45326">
                                <w:rPr>
                                  <w:rFonts w:ascii="Arial" w:eastAsia="Times New Roman" w:hAnsi="Arial" w:cs="Arial"/>
                                  <w:color w:val="000000"/>
                                  <w:sz w:val="21"/>
                                  <w:szCs w:val="21"/>
                                  <w:lang w:eastAsia="en-AU"/>
                                </w:rPr>
                                <w:fldChar w:fldCharType="end"/>
                              </w:r>
                              <w:bookmarkEnd w:id="5"/>
                              <w:r w:rsidRPr="00D45326">
                                <w:rPr>
                                  <w:rFonts w:ascii="Arial" w:eastAsia="Times New Roman" w:hAnsi="Arial" w:cs="Arial"/>
                                  <w:color w:val="000000"/>
                                  <w:sz w:val="21"/>
                                  <w:szCs w:val="21"/>
                                  <w:lang w:eastAsia="en-AU"/>
                                </w:rPr>
                                <w:t> The MWP Acts introduced a number of important property rights for married women, including: an entitlement to their own wages and earnings,</w:t>
                              </w:r>
                              <w:bookmarkStart w:id="6" w:name="_ftnref7"/>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"_ftn7"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[7]</w:t>
                              </w:r>
                              <w:r w:rsidRPr="00D45326">
                                <w:rPr>
                                  <w:rFonts w:ascii="Arial" w:eastAsia="Times New Roman" w:hAnsi="Arial" w:cs="Arial"/>
                                  <w:color w:val="000000"/>
                                  <w:sz w:val="21"/>
                                  <w:szCs w:val="21"/>
                                  <w:lang w:eastAsia="en-AU"/>
                                </w:rPr>
                                <w:fldChar w:fldCharType="end"/>
                              </w:r>
                              <w:bookmarkEnd w:id="6"/>
                              <w:r w:rsidRPr="00D45326">
                                <w:rPr>
                                  <w:rFonts w:ascii="Arial" w:eastAsia="Times New Roman" w:hAnsi="Arial" w:cs="Arial"/>
                                  <w:color w:val="000000"/>
                                  <w:sz w:val="21"/>
                                  <w:szCs w:val="21"/>
                                  <w:lang w:eastAsia="en-AU"/>
                                </w:rPr>
                                <w:t> an entitlement to own and deal with real estate as if she were a single woman,</w:t>
                              </w:r>
                              <w:bookmarkStart w:id="7" w:name="_ftnref8"/>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"_ftn8"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[8]</w:t>
                              </w:r>
                              <w:r w:rsidRPr="00D45326">
                                <w:rPr>
                                  <w:rFonts w:ascii="Arial" w:eastAsia="Times New Roman" w:hAnsi="Arial" w:cs="Arial"/>
                                  <w:color w:val="000000"/>
                                  <w:sz w:val="21"/>
                                  <w:szCs w:val="21"/>
                                  <w:lang w:eastAsia="en-AU"/>
                                </w:rPr>
                                <w:fldChar w:fldCharType="end"/>
                              </w:r>
                              <w:bookmarkEnd w:id="7"/>
                              <w:r w:rsidRPr="00D45326">
                                <w:rPr>
                                  <w:rFonts w:ascii="Arial" w:eastAsia="Times New Roman" w:hAnsi="Arial" w:cs="Arial"/>
                                  <w:color w:val="000000"/>
                                  <w:sz w:val="21"/>
                                  <w:szCs w:val="21"/>
                                  <w:lang w:eastAsia="en-AU"/>
                                </w:rPr>
                                <w:t> and an entitlement to inherit, receive, deal with and bequeath any personal property which the MWP Acts entitled her to own separately from her husband.</w:t>
                              </w:r>
                              <w:bookmarkStart w:id="8" w:name="_ftnref9"/>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"_ftn9"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[9]</w:t>
                              </w:r>
                              <w:r w:rsidRPr="00D45326">
                                <w:rPr>
                                  <w:rFonts w:ascii="Arial" w:eastAsia="Times New Roman" w:hAnsi="Arial" w:cs="Arial"/>
                                  <w:color w:val="000000"/>
                                  <w:sz w:val="21"/>
                                  <w:szCs w:val="21"/>
                                  <w:lang w:eastAsia="en-AU"/>
                                </w:rPr>
                                <w:fldChar w:fldCharType="end"/>
                              </w:r>
                              <w:bookmarkEnd w:id="8"/>
                              <w:r w:rsidRPr="00D45326">
                                <w:rPr>
                                  <w:rFonts w:ascii="Arial" w:eastAsia="Times New Roman" w:hAnsi="Arial" w:cs="Arial"/>
                                  <w:color w:val="000000"/>
                                  <w:sz w:val="21"/>
                                  <w:szCs w:val="21"/>
                                  <w:lang w:eastAsia="en-AU"/>
                                </w:rPr>
                                <w:t> Coming from the previous position of a married woman lacking all legal personality, the achievement of these legal rights for married women is quite significant.</w:t>
                              </w:r>
                              <w:r w:rsidRPr="00D45326">
                                <w:rPr>
                                  <w:rFonts w:ascii="Arial" w:eastAsia="Times New Roman" w:hAnsi="Arial" w:cs="Arial"/>
                                  <w:color w:val="000000"/>
                                  <w:sz w:val="21"/>
                                  <w:szCs w:val="21"/>
                                  <w:lang w:eastAsia="en-AU"/>
                                </w:rPr>
                                <w:br/>
                                <w:t> </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b/>
                                  <w:bCs/>
                                  <w:i/>
                                  <w:iCs/>
                                  <w:color w:val="000000"/>
                                  <w:sz w:val="21"/>
                                  <w:szCs w:val="21"/>
                                  <w:lang w:eastAsia="en-AU"/>
                                </w:rPr>
                                <w:t>Troubled Histories</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color w:val="000000"/>
                                  <w:sz w:val="21"/>
                                  <w:szCs w:val="21"/>
                                  <w:lang w:eastAsia="en-AU"/>
                                </w:rPr>
                                <w:t> </w:t>
                              </w:r>
                              <w:r w:rsidRPr="00D45326">
                                <w:rPr>
                                  <w:rFonts w:ascii="Arial" w:eastAsia="Times New Roman" w:hAnsi="Arial" w:cs="Arial"/>
                                  <w:color w:val="000000"/>
                                  <w:sz w:val="21"/>
                                  <w:szCs w:val="21"/>
                                  <w:lang w:eastAsia="en-AU"/>
                                </w:rPr>
                                <w:br/>
                                <w:t xml:space="preserve">The Magna Carta is considered an enduring symbol of social change and of equality before the law, however it is also known for the turbulent history which gave rise to it. The motivations for the creation of the Magna Carta were the crushing taxes imposed by the notorious King John, and his subsequent diplomatic and military failures </w:t>
                              </w:r>
                              <w:proofErr w:type="gramStart"/>
                              <w:r w:rsidRPr="00D45326">
                                <w:rPr>
                                  <w:rFonts w:ascii="Arial" w:eastAsia="Times New Roman" w:hAnsi="Arial" w:cs="Arial"/>
                                  <w:color w:val="000000"/>
                                  <w:sz w:val="21"/>
                                  <w:szCs w:val="21"/>
                                  <w:lang w:eastAsia="en-AU"/>
                                </w:rPr>
                                <w:t>( possibly</w:t>
                              </w:r>
                              <w:proofErr w:type="gramEnd"/>
                              <w:r w:rsidRPr="00D45326">
                                <w:rPr>
                                  <w:rFonts w:ascii="Arial" w:eastAsia="Times New Roman" w:hAnsi="Arial" w:cs="Arial"/>
                                  <w:color w:val="000000"/>
                                  <w:sz w:val="21"/>
                                  <w:szCs w:val="21"/>
                                  <w:lang w:eastAsia="en-AU"/>
                                </w:rPr>
                                <w:t xml:space="preserve"> the strongest argument ever for the Republican cause). </w:t>
                              </w:r>
                              <w:bookmarkStart w:id="9" w:name="_ftnref10"/>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"_ftn10"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[10]</w:t>
                              </w:r>
                              <w:r w:rsidRPr="00D45326">
                                <w:rPr>
                                  <w:rFonts w:ascii="Arial" w:eastAsia="Times New Roman" w:hAnsi="Arial" w:cs="Arial"/>
                                  <w:color w:val="000000"/>
                                  <w:sz w:val="21"/>
                                  <w:szCs w:val="21"/>
                                  <w:lang w:eastAsia="en-AU"/>
                                </w:rPr>
                                <w:fldChar w:fldCharType="end"/>
                              </w:r>
                              <w:bookmarkEnd w:id="9"/>
                              <w:r w:rsidRPr="00D45326">
                                <w:rPr>
                                  <w:rFonts w:ascii="Arial" w:eastAsia="Times New Roman" w:hAnsi="Arial" w:cs="Arial"/>
                                  <w:color w:val="000000"/>
                                  <w:sz w:val="21"/>
                                  <w:szCs w:val="21"/>
                                  <w:lang w:eastAsia="en-AU"/>
                                </w:rPr>
                                <w:t xml:space="preserve"> The first version of the Magna Carta was created during an ‘open </w:t>
                              </w:r>
                              <w:proofErr w:type="gramStart"/>
                              <w:r w:rsidRPr="00D45326">
                                <w:rPr>
                                  <w:rFonts w:ascii="Arial" w:eastAsia="Times New Roman" w:hAnsi="Arial" w:cs="Arial"/>
                                  <w:color w:val="000000"/>
                                  <w:sz w:val="21"/>
                                  <w:szCs w:val="21"/>
                                  <w:lang w:eastAsia="en-AU"/>
                                </w:rPr>
                                <w:t>rebellion’</w:t>
                              </w:r>
                              <w:bookmarkStart w:id="10" w:name="_ftnref11"/>
                              <w:proofErr w:type="gramEnd"/>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"_ftn11"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[11]</w:t>
                              </w:r>
                              <w:r w:rsidRPr="00D45326">
                                <w:rPr>
                                  <w:rFonts w:ascii="Arial" w:eastAsia="Times New Roman" w:hAnsi="Arial" w:cs="Arial"/>
                                  <w:color w:val="000000"/>
                                  <w:sz w:val="21"/>
                                  <w:szCs w:val="21"/>
                                  <w:lang w:eastAsia="en-AU"/>
                                </w:rPr>
                                <w:fldChar w:fldCharType="end"/>
                              </w:r>
                              <w:bookmarkEnd w:id="10"/>
                              <w:r w:rsidRPr="00D45326">
                                <w:rPr>
                                  <w:rFonts w:ascii="Arial" w:eastAsia="Times New Roman" w:hAnsi="Arial" w:cs="Arial"/>
                                  <w:color w:val="000000"/>
                                  <w:sz w:val="21"/>
                                  <w:szCs w:val="21"/>
                                  <w:lang w:eastAsia="en-AU"/>
                                </w:rPr>
                                <w:t> and was then followed by bitter civil war, despite the intention that it should prevent such an outcome.</w:t>
                              </w:r>
                              <w:bookmarkStart w:id="11" w:name="_ftnref12"/>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"_ftn12"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[12]</w:t>
                              </w:r>
                              <w:r w:rsidRPr="00D45326">
                                <w:rPr>
                                  <w:rFonts w:ascii="Arial" w:eastAsia="Times New Roman" w:hAnsi="Arial" w:cs="Arial"/>
                                  <w:color w:val="000000"/>
                                  <w:sz w:val="21"/>
                                  <w:szCs w:val="21"/>
                                  <w:lang w:eastAsia="en-AU"/>
                                </w:rPr>
                                <w:fldChar w:fldCharType="end"/>
                              </w:r>
                              <w:bookmarkEnd w:id="11"/>
                              <w:r w:rsidRPr="00D45326">
                                <w:rPr>
                                  <w:rFonts w:ascii="Arial" w:eastAsia="Times New Roman" w:hAnsi="Arial" w:cs="Arial"/>
                                  <w:color w:val="000000"/>
                                  <w:sz w:val="21"/>
                                  <w:szCs w:val="21"/>
                                  <w:lang w:eastAsia="en-AU"/>
                                </w:rPr>
                                <w:t> The Magna Carta also underwent decades of revisions and reissues, with the final version that became part of English law only being completed in 1297.</w:t>
                              </w:r>
                              <w:bookmarkStart w:id="12" w:name="_ftnref13"/>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"_ftn13"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[13]</w:t>
                              </w:r>
                              <w:r w:rsidRPr="00D45326">
                                <w:rPr>
                                  <w:rFonts w:ascii="Arial" w:eastAsia="Times New Roman" w:hAnsi="Arial" w:cs="Arial"/>
                                  <w:color w:val="000000"/>
                                  <w:sz w:val="21"/>
                                  <w:szCs w:val="21"/>
                                  <w:lang w:eastAsia="en-AU"/>
                                </w:rPr>
                                <w:fldChar w:fldCharType="end"/>
                              </w:r>
                              <w:bookmarkEnd w:id="12"/>
                              <w:r w:rsidRPr="00D45326">
                                <w:rPr>
                                  <w:rFonts w:ascii="Arial" w:eastAsia="Times New Roman" w:hAnsi="Arial" w:cs="Arial"/>
                                  <w:color w:val="000000"/>
                                  <w:sz w:val="21"/>
                                  <w:szCs w:val="21"/>
                                  <w:lang w:eastAsia="en-AU"/>
                                </w:rPr>
                                <w:t> It is somewhat remarkable in light of this history that the Magna Carta was ultimately successful, and came to be such a beacon for the concept of legal equality, not only in English law based jurisdiction but throughout the world.</w:t>
                              </w:r>
                              <w:r w:rsidRPr="00D45326">
                                <w:rPr>
                                  <w:rFonts w:ascii="Arial" w:eastAsia="Times New Roman" w:hAnsi="Arial" w:cs="Arial"/>
                                  <w:color w:val="000000"/>
                                  <w:sz w:val="21"/>
                                  <w:szCs w:val="21"/>
                                  <w:lang w:eastAsia="en-AU"/>
                                </w:rPr>
                                <w:br/>
                                <w:t> </w:t>
                              </w:r>
                              <w:r w:rsidRPr="00D45326">
                                <w:rPr>
                                  <w:rFonts w:ascii="Arial" w:eastAsia="Times New Roman" w:hAnsi="Arial" w:cs="Arial"/>
                                  <w:color w:val="000000"/>
                                  <w:sz w:val="21"/>
                                  <w:szCs w:val="21"/>
                                  <w:lang w:eastAsia="en-AU"/>
                                </w:rPr>
                                <w:br/>
                                <w:t xml:space="preserve">Likewise the first MWP Acts were introduced with mixed motives, and suffered from some problems in seriously addressing the social issues at which they were purportedly aimed. The UK Act was a compromise between the interests of groups who genuinely sought greater gender equality and conservative politicians who claimed that such legislation </w:t>
                              </w:r>
                              <w:r w:rsidRPr="00D45326">
                                <w:rPr>
                                  <w:rFonts w:ascii="Arial" w:eastAsia="Times New Roman" w:hAnsi="Arial" w:cs="Arial"/>
                                  <w:color w:val="000000"/>
                                  <w:sz w:val="21"/>
                                  <w:szCs w:val="21"/>
                                  <w:lang w:eastAsia="en-AU"/>
                                </w:rPr>
                                <w:lastRenderedPageBreak/>
                                <w:t>could cause discord and distrust between otherwise content spouses.</w:t>
                              </w:r>
                              <w:bookmarkStart w:id="13" w:name="_ftnref14"/>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"_ftn14"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[14]</w:t>
                              </w:r>
                              <w:r w:rsidRPr="00D45326">
                                <w:rPr>
                                  <w:rFonts w:ascii="Arial" w:eastAsia="Times New Roman" w:hAnsi="Arial" w:cs="Arial"/>
                                  <w:color w:val="000000"/>
                                  <w:sz w:val="21"/>
                                  <w:szCs w:val="21"/>
                                  <w:lang w:eastAsia="en-AU"/>
                                </w:rPr>
                                <w:fldChar w:fldCharType="end"/>
                              </w:r>
                              <w:bookmarkEnd w:id="13"/>
                              <w:r w:rsidRPr="00D45326">
                                <w:rPr>
                                  <w:rFonts w:ascii="Arial" w:eastAsia="Times New Roman" w:hAnsi="Arial" w:cs="Arial"/>
                                  <w:color w:val="000000"/>
                                  <w:sz w:val="21"/>
                                  <w:szCs w:val="21"/>
                                  <w:lang w:eastAsia="en-AU"/>
                                </w:rPr>
                                <w:t> One reason for the implementation of these first Acts was not equality at all, but the prevention of fraud.</w:t>
                              </w:r>
                              <w:bookmarkStart w:id="14" w:name="_ftnref15"/>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"_ftn15"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[15]</w:t>
                              </w:r>
                              <w:r w:rsidRPr="00D45326">
                                <w:rPr>
                                  <w:rFonts w:ascii="Arial" w:eastAsia="Times New Roman" w:hAnsi="Arial" w:cs="Arial"/>
                                  <w:color w:val="000000"/>
                                  <w:sz w:val="21"/>
                                  <w:szCs w:val="21"/>
                                  <w:lang w:eastAsia="en-AU"/>
                                </w:rPr>
                                <w:fldChar w:fldCharType="end"/>
                              </w:r>
                              <w:bookmarkEnd w:id="14"/>
                              <w:r w:rsidRPr="00D45326">
                                <w:rPr>
                                  <w:rFonts w:ascii="Arial" w:eastAsia="Times New Roman" w:hAnsi="Arial" w:cs="Arial"/>
                                  <w:color w:val="000000"/>
                                  <w:sz w:val="21"/>
                                  <w:szCs w:val="21"/>
                                  <w:lang w:eastAsia="en-AU"/>
                                </w:rPr>
                                <w:t> Legislators were concerned that a single woman might accrue substantial debts and then marry to effectively escape her creditors.</w:t>
                              </w:r>
                              <w:bookmarkStart w:id="15" w:name="_ftnref16"/>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"_ftn16"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[16]</w:t>
                              </w:r>
                              <w:r w:rsidRPr="00D45326">
                                <w:rPr>
                                  <w:rFonts w:ascii="Arial" w:eastAsia="Times New Roman" w:hAnsi="Arial" w:cs="Arial"/>
                                  <w:color w:val="000000"/>
                                  <w:sz w:val="21"/>
                                  <w:szCs w:val="21"/>
                                  <w:lang w:eastAsia="en-AU"/>
                                </w:rPr>
                                <w:fldChar w:fldCharType="end"/>
                              </w:r>
                              <w:bookmarkEnd w:id="15"/>
                              <w:r w:rsidRPr="00D45326">
                                <w:rPr>
                                  <w:rFonts w:ascii="Arial" w:eastAsia="Times New Roman" w:hAnsi="Arial" w:cs="Arial"/>
                                  <w:color w:val="000000"/>
                                  <w:sz w:val="21"/>
                                  <w:szCs w:val="21"/>
                                  <w:lang w:eastAsia="en-AU"/>
                                </w:rPr>
                                <w:t> The Acts were also problematic as while they provided for some property rights for married women, they did not extinguish the notions of coverture and of a husband and wife being a single entity.</w:t>
                              </w:r>
                              <w:bookmarkStart w:id="16" w:name="_ftnref17"/>
                              <w:r w:rsidRPr="00D45326">
                                <w:rPr>
                                  <w:rFonts w:ascii="Arial" w:eastAsia="Times New Roman" w:hAnsi="Arial" w:cs="Arial"/>
                                  <w:color w:val="000000"/>
                                  <w:sz w:val="21"/>
                                  <w:szCs w:val="21"/>
                                  <w:lang w:eastAsia="en-AU"/>
                                </w:rPr>
                                <w:fldChar w:fldCharType="begin"/>
                              </w:r>
                              <w:r w:rsidRPr="00D45326">
                                <w:rPr>
                                  <w:rFonts w:ascii="Arial" w:eastAsia="Times New Roman" w:hAnsi="Arial" w:cs="Arial"/>
                                  <w:color w:val="000000"/>
                                  <w:sz w:val="21"/>
                                  <w:szCs w:val="21"/>
                                  <w:lang w:eastAsia="en-AU"/>
                                </w:rPr>
                                <w:instrText xml:space="preserve"> HYPERLINK "http://us4.campaign-archive2.com/?u=d7ac35d590989fce96f6014e9&amp;id=5c773c7645" \l "_ftn17" \o "" </w:instrText>
                              </w:r>
                              <w:r w:rsidRPr="00D45326">
                                <w:rPr>
                                  <w:rFonts w:ascii="Arial" w:eastAsia="Times New Roman" w:hAnsi="Arial" w:cs="Arial"/>
                                  <w:color w:val="000000"/>
                                  <w:sz w:val="21"/>
                                  <w:szCs w:val="21"/>
                                  <w:lang w:eastAsia="en-AU"/>
                                </w:rPr>
                                <w:fldChar w:fldCharType="separate"/>
                              </w:r>
                              <w:r w:rsidRPr="00D45326">
                                <w:rPr>
                                  <w:rFonts w:ascii="Arial" w:eastAsia="Times New Roman" w:hAnsi="Arial" w:cs="Arial"/>
                                  <w:color w:val="2A3994"/>
                                  <w:sz w:val="21"/>
                                  <w:szCs w:val="21"/>
                                  <w:u w:val="single"/>
                                  <w:lang w:eastAsia="en-AU"/>
                                </w:rPr>
                                <w:t>[17]</w:t>
                              </w:r>
                              <w:r w:rsidRPr="00D45326">
                                <w:rPr>
                                  <w:rFonts w:ascii="Arial" w:eastAsia="Times New Roman" w:hAnsi="Arial" w:cs="Arial"/>
                                  <w:color w:val="000000"/>
                                  <w:sz w:val="21"/>
                                  <w:szCs w:val="21"/>
                                  <w:lang w:eastAsia="en-AU"/>
                                </w:rPr>
                                <w:fldChar w:fldCharType="end"/>
                              </w:r>
                              <w:bookmarkEnd w:id="16"/>
                              <w:r w:rsidRPr="00D45326">
                                <w:rPr>
                                  <w:rFonts w:ascii="Arial" w:eastAsia="Times New Roman" w:hAnsi="Arial" w:cs="Arial"/>
                                  <w:color w:val="000000"/>
                                  <w:sz w:val="21"/>
                                  <w:szCs w:val="21"/>
                                  <w:lang w:eastAsia="en-AU"/>
                                </w:rPr>
                                <w:br/>
                                <w:t> </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b/>
                                  <w:bCs/>
                                  <w:i/>
                                  <w:iCs/>
                                  <w:color w:val="000000"/>
                                  <w:sz w:val="21"/>
                                  <w:szCs w:val="21"/>
                                  <w:lang w:eastAsia="en-AU"/>
                                </w:rPr>
                                <w:t>Conclusion</w:t>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color w:val="000000"/>
                                  <w:sz w:val="21"/>
                                  <w:szCs w:val="21"/>
                                  <w:lang w:eastAsia="en-AU"/>
                                </w:rPr>
                                <w:t> </w:t>
                              </w:r>
                              <w:r w:rsidRPr="00D45326">
                                <w:rPr>
                                  <w:rFonts w:ascii="Arial" w:eastAsia="Times New Roman" w:hAnsi="Arial" w:cs="Arial"/>
                                  <w:color w:val="000000"/>
                                  <w:sz w:val="21"/>
                                  <w:szCs w:val="21"/>
                                  <w:lang w:eastAsia="en-AU"/>
                                </w:rPr>
                                <w:br/>
                                <w:t>Thus we can see two parallels between the Magna Carta and the first MWP Acts. Both achieved more substantial legal rights for women, with the Magna Carta providing for the greater autonomy of widows and the MWP Acts allowing married women to own and dispose of their own property. Further, both of these foundational documents grew out of turbulent pasts, and have come to be known for a lasting social impact which was not necessarily the intention of the original drafters.</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t> </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pict>
                                  <v:rect id="_x0000_i1025" style="width:148.95pt;height:.75pt" o:hrpct="330" o:hrstd="t" o:hr="t" fillcolor="#a0a0a0" stroked="f"/>
                                </w:pict>
                              </w:r>
                            </w:p>
                            <w:bookmarkStart w:id="17" w:name="_ftn1"/>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"_ftnref1"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[1]</w:t>
                              </w:r>
                              <w:r w:rsidRPr="00D45326">
                                <w:rPr>
                                  <w:rFonts w:ascii="Arial" w:eastAsia="Times New Roman" w:hAnsi="Arial" w:cs="Arial"/>
                                  <w:color w:val="414141"/>
                                  <w:sz w:val="21"/>
                                  <w:szCs w:val="21"/>
                                  <w:lang w:eastAsia="en-AU"/>
                                </w:rPr>
                                <w:fldChar w:fldCharType="end"/>
                              </w:r>
                              <w:bookmarkEnd w:id="17"/>
                              <w:r w:rsidRPr="00D45326">
                                <w:rPr>
                                  <w:rFonts w:ascii="Arial" w:eastAsia="Times New Roman" w:hAnsi="Arial" w:cs="Arial"/>
                                  <w:color w:val="414141"/>
                                  <w:sz w:val="21"/>
                                  <w:szCs w:val="21"/>
                                  <w:lang w:eastAsia="en-AU"/>
                                </w:rPr>
                                <w:t> Nick Miller, ‘Magna Carta: Nine Facts You May Not Know’, </w:t>
                              </w:r>
                              <w:r w:rsidRPr="00D45326">
                                <w:rPr>
                                  <w:rFonts w:ascii="Arial" w:eastAsia="Times New Roman" w:hAnsi="Arial" w:cs="Arial"/>
                                  <w:i/>
                                  <w:iCs/>
                                  <w:color w:val="414141"/>
                                  <w:sz w:val="21"/>
                                  <w:szCs w:val="21"/>
                                  <w:lang w:eastAsia="en-AU"/>
                                </w:rPr>
                                <w:t xml:space="preserve">Sydney Morning </w:t>
                              </w:r>
                              <w:proofErr w:type="gramStart"/>
                              <w:r w:rsidRPr="00D45326">
                                <w:rPr>
                                  <w:rFonts w:ascii="Arial" w:eastAsia="Times New Roman" w:hAnsi="Arial" w:cs="Arial"/>
                                  <w:i/>
                                  <w:iCs/>
                                  <w:color w:val="414141"/>
                                  <w:sz w:val="21"/>
                                  <w:szCs w:val="21"/>
                                  <w:lang w:eastAsia="en-AU"/>
                                </w:rPr>
                                <w:t>Herald</w:t>
                              </w:r>
                              <w:r w:rsidRPr="00D45326">
                                <w:rPr>
                                  <w:rFonts w:ascii="Arial" w:eastAsia="Times New Roman" w:hAnsi="Arial" w:cs="Arial"/>
                                  <w:color w:val="414141"/>
                                  <w:sz w:val="21"/>
                                  <w:szCs w:val="21"/>
                                  <w:lang w:eastAsia="en-AU"/>
                                </w:rPr>
                                <w:t>(</w:t>
                              </w:r>
                              <w:proofErr w:type="gramEnd"/>
                              <w:r w:rsidRPr="00D45326">
                                <w:rPr>
                                  <w:rFonts w:ascii="Arial" w:eastAsia="Times New Roman" w:hAnsi="Arial" w:cs="Arial"/>
                                  <w:color w:val="414141"/>
                                  <w:sz w:val="21"/>
                                  <w:szCs w:val="21"/>
                                  <w:lang w:eastAsia="en-AU"/>
                                </w:rPr>
                                <w:t>online), 16 June 2015 &lt;</w:t>
                              </w:r>
                              <w:hyperlink r:id="rId9" w:history="1">
                                <w:r w:rsidRPr="00D45326">
                                  <w:rPr>
                                    <w:rFonts w:ascii="Arial" w:eastAsia="Times New Roman" w:hAnsi="Arial" w:cs="Arial"/>
                                    <w:color w:val="2A3994"/>
                                    <w:sz w:val="21"/>
                                    <w:szCs w:val="21"/>
                                    <w:u w:val="single"/>
                                    <w:lang w:eastAsia="en-AU"/>
                                  </w:rPr>
                                  <w:t>http://www.smh.com.au/world/magna-carta-nine-facts-you-may-not-know-20150615-ghnuzs.html</w:t>
                                </w:r>
                              </w:hyperlink>
                              <w:r w:rsidRPr="00D45326">
                                <w:rPr>
                                  <w:rFonts w:ascii="Arial" w:eastAsia="Times New Roman" w:hAnsi="Arial" w:cs="Arial"/>
                                  <w:color w:val="414141"/>
                                  <w:sz w:val="21"/>
                                  <w:szCs w:val="21"/>
                                  <w:lang w:eastAsia="en-AU"/>
                                </w:rPr>
                                <w:t>&gt;; Nicholas Cowdery, ‘Magna Carta: 800 Years Young’ (2015) (June) </w:t>
                              </w:r>
                              <w:r w:rsidRPr="00D45326">
                                <w:rPr>
                                  <w:rFonts w:ascii="Arial" w:eastAsia="Times New Roman" w:hAnsi="Arial" w:cs="Arial"/>
                                  <w:i/>
                                  <w:iCs/>
                                  <w:color w:val="414141"/>
                                  <w:sz w:val="21"/>
                                  <w:szCs w:val="21"/>
                                  <w:lang w:eastAsia="en-AU"/>
                                </w:rPr>
                                <w:t>Law Society of New South Wales Journal</w:t>
                              </w:r>
                              <w:r w:rsidRPr="00D45326">
                                <w:rPr>
                                  <w:rFonts w:ascii="Arial" w:eastAsia="Times New Roman" w:hAnsi="Arial" w:cs="Arial"/>
                                  <w:color w:val="414141"/>
                                  <w:sz w:val="21"/>
                                  <w:szCs w:val="21"/>
                                  <w:lang w:eastAsia="en-AU"/>
                                </w:rPr>
                                <w:t> 26, 30.</w:t>
                              </w:r>
                            </w:p>
                            <w:bookmarkStart w:id="18" w:name="_ftn2"/>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"_ftnref2"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[2]</w:t>
                              </w:r>
                              <w:r w:rsidRPr="00D45326">
                                <w:rPr>
                                  <w:rFonts w:ascii="Arial" w:eastAsia="Times New Roman" w:hAnsi="Arial" w:cs="Arial"/>
                                  <w:color w:val="414141"/>
                                  <w:sz w:val="21"/>
                                  <w:szCs w:val="21"/>
                                  <w:lang w:eastAsia="en-AU"/>
                                </w:rPr>
                                <w:fldChar w:fldCharType="end"/>
                              </w:r>
                              <w:bookmarkEnd w:id="18"/>
                              <w:r w:rsidRPr="00D45326">
                                <w:rPr>
                                  <w:rFonts w:ascii="Arial" w:eastAsia="Times New Roman" w:hAnsi="Arial" w:cs="Arial"/>
                                  <w:color w:val="414141"/>
                                  <w:sz w:val="21"/>
                                  <w:szCs w:val="21"/>
                                  <w:lang w:eastAsia="en-AU"/>
                                </w:rPr>
                                <w:t> Miller, above n 1; Cowdery, above n 1, 30.</w:t>
                              </w:r>
                            </w:p>
                            <w:bookmarkStart w:id="19" w:name="_ftn3"/>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"_ftnref3"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[3]</w:t>
                              </w:r>
                              <w:r w:rsidRPr="00D45326">
                                <w:rPr>
                                  <w:rFonts w:ascii="Arial" w:eastAsia="Times New Roman" w:hAnsi="Arial" w:cs="Arial"/>
                                  <w:color w:val="414141"/>
                                  <w:sz w:val="21"/>
                                  <w:szCs w:val="21"/>
                                  <w:lang w:eastAsia="en-AU"/>
                                </w:rPr>
                                <w:fldChar w:fldCharType="end"/>
                              </w:r>
                              <w:bookmarkEnd w:id="19"/>
                              <w:r w:rsidRPr="00D45326">
                                <w:rPr>
                                  <w:rFonts w:ascii="Arial" w:eastAsia="Times New Roman" w:hAnsi="Arial" w:cs="Arial"/>
                                  <w:color w:val="414141"/>
                                  <w:sz w:val="21"/>
                                  <w:szCs w:val="21"/>
                                  <w:lang w:eastAsia="en-AU"/>
                                </w:rPr>
                                <w:t> Miller, above n 1.</w:t>
                              </w:r>
                            </w:p>
                            <w:bookmarkStart w:id="20" w:name="_ftn4"/>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"_ftnref4"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[4]</w:t>
                              </w:r>
                              <w:r w:rsidRPr="00D45326">
                                <w:rPr>
                                  <w:rFonts w:ascii="Arial" w:eastAsia="Times New Roman" w:hAnsi="Arial" w:cs="Arial"/>
                                  <w:color w:val="414141"/>
                                  <w:sz w:val="21"/>
                                  <w:szCs w:val="21"/>
                                  <w:lang w:eastAsia="en-AU"/>
                                </w:rPr>
                                <w:fldChar w:fldCharType="end"/>
                              </w:r>
                              <w:bookmarkEnd w:id="20"/>
                              <w:r w:rsidRPr="00D45326">
                                <w:rPr>
                                  <w:rFonts w:ascii="Arial" w:eastAsia="Times New Roman" w:hAnsi="Arial" w:cs="Arial"/>
                                  <w:color w:val="414141"/>
                                  <w:sz w:val="21"/>
                                  <w:szCs w:val="21"/>
                                  <w:lang w:eastAsia="en-AU"/>
                                </w:rPr>
                                <w:t> Andrew James Cowie, ‘A History of Married Women’s Real Property Rights’ (2009) Article 6 </w:t>
                              </w:r>
                              <w:r w:rsidRPr="00D45326">
                                <w:rPr>
                                  <w:rFonts w:ascii="Arial" w:eastAsia="Times New Roman" w:hAnsi="Arial" w:cs="Arial"/>
                                  <w:i/>
                                  <w:iCs/>
                                  <w:color w:val="414141"/>
                                  <w:sz w:val="21"/>
                                  <w:szCs w:val="21"/>
                                  <w:lang w:eastAsia="en-AU"/>
                                </w:rPr>
                                <w:t>Australian Journal of Gender and Law</w:t>
                              </w:r>
                              <w:r w:rsidRPr="00D45326">
                                <w:rPr>
                                  <w:rFonts w:ascii="Arial" w:eastAsia="Times New Roman" w:hAnsi="Arial" w:cs="Arial"/>
                                  <w:color w:val="414141"/>
                                  <w:sz w:val="21"/>
                                  <w:szCs w:val="21"/>
                                  <w:lang w:eastAsia="en-AU"/>
                                </w:rPr>
                                <w:t> 1, 3.</w:t>
                              </w:r>
                            </w:p>
                            <w:bookmarkStart w:id="21" w:name="_ftn5"/>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"_ftnref5"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[5]</w:t>
                              </w:r>
                              <w:r w:rsidRPr="00D45326">
                                <w:rPr>
                                  <w:rFonts w:ascii="Arial" w:eastAsia="Times New Roman" w:hAnsi="Arial" w:cs="Arial"/>
                                  <w:color w:val="414141"/>
                                  <w:sz w:val="21"/>
                                  <w:szCs w:val="21"/>
                                  <w:lang w:eastAsia="en-AU"/>
                                </w:rPr>
                                <w:fldChar w:fldCharType="end"/>
                              </w:r>
                              <w:bookmarkEnd w:id="21"/>
                              <w:r w:rsidRPr="00D45326">
                                <w:rPr>
                                  <w:rFonts w:ascii="Arial" w:eastAsia="Times New Roman" w:hAnsi="Arial" w:cs="Arial"/>
                                  <w:color w:val="414141"/>
                                  <w:sz w:val="21"/>
                                  <w:szCs w:val="21"/>
                                  <w:lang w:eastAsia="en-AU"/>
                                </w:rPr>
                                <w:t> Ibid 4.</w:t>
                              </w:r>
                            </w:p>
                            <w:bookmarkStart w:id="22" w:name="_ftn6"/>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"_ftnref6"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[6]</w:t>
                              </w:r>
                              <w:r w:rsidRPr="00D45326">
                                <w:rPr>
                                  <w:rFonts w:ascii="Arial" w:eastAsia="Times New Roman" w:hAnsi="Arial" w:cs="Arial"/>
                                  <w:color w:val="414141"/>
                                  <w:sz w:val="21"/>
                                  <w:szCs w:val="21"/>
                                  <w:lang w:eastAsia="en-AU"/>
                                </w:rPr>
                                <w:fldChar w:fldCharType="end"/>
                              </w:r>
                              <w:bookmarkEnd w:id="22"/>
                              <w:r w:rsidRPr="00D45326">
                                <w:rPr>
                                  <w:rFonts w:ascii="Arial" w:eastAsia="Times New Roman" w:hAnsi="Arial" w:cs="Arial"/>
                                  <w:color w:val="414141"/>
                                  <w:sz w:val="21"/>
                                  <w:szCs w:val="21"/>
                                  <w:lang w:eastAsia="en-AU"/>
                                </w:rPr>
                                <w:t> Ibid 3.</w:t>
                              </w:r>
                            </w:p>
                            <w:bookmarkStart w:id="23" w:name="_ftn7"/>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"_ftnref7"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[7]</w:t>
                              </w:r>
                              <w:r w:rsidRPr="00D45326">
                                <w:rPr>
                                  <w:rFonts w:ascii="Arial" w:eastAsia="Times New Roman" w:hAnsi="Arial" w:cs="Arial"/>
                                  <w:color w:val="414141"/>
                                  <w:sz w:val="21"/>
                                  <w:szCs w:val="21"/>
                                  <w:lang w:eastAsia="en-AU"/>
                                </w:rPr>
                                <w:fldChar w:fldCharType="end"/>
                              </w:r>
                              <w:bookmarkEnd w:id="23"/>
                              <w:r w:rsidRPr="00D45326">
                                <w:rPr>
                                  <w:rFonts w:ascii="Arial" w:eastAsia="Times New Roman" w:hAnsi="Arial" w:cs="Arial"/>
                                  <w:color w:val="414141"/>
                                  <w:sz w:val="21"/>
                                  <w:szCs w:val="21"/>
                                  <w:lang w:eastAsia="en-AU"/>
                                </w:rPr>
                                <w:t> </w:t>
                              </w:r>
                              <w:r w:rsidRPr="00D45326">
                                <w:rPr>
                                  <w:rFonts w:ascii="Arial" w:eastAsia="Times New Roman" w:hAnsi="Arial" w:cs="Arial"/>
                                  <w:i/>
                                  <w:iCs/>
                                  <w:color w:val="414141"/>
                                  <w:sz w:val="21"/>
                                  <w:szCs w:val="21"/>
                                  <w:lang w:eastAsia="en-AU"/>
                                </w:rPr>
                                <w:t>Married Women’s Property Act 1870 </w:t>
                              </w:r>
                              <w:r w:rsidRPr="00D45326">
                                <w:rPr>
                                  <w:rFonts w:ascii="Arial" w:eastAsia="Times New Roman" w:hAnsi="Arial" w:cs="Arial"/>
                                  <w:color w:val="414141"/>
                                  <w:sz w:val="21"/>
                                  <w:szCs w:val="21"/>
                                  <w:lang w:eastAsia="en-AU"/>
                                </w:rPr>
                                <w:t>(Vic) s 5.</w:t>
                              </w:r>
                            </w:p>
                            <w:bookmarkStart w:id="24" w:name="_ftn8"/>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"_ftnref8"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[8]</w:t>
                              </w:r>
                              <w:r w:rsidRPr="00D45326">
                                <w:rPr>
                                  <w:rFonts w:ascii="Arial" w:eastAsia="Times New Roman" w:hAnsi="Arial" w:cs="Arial"/>
                                  <w:color w:val="414141"/>
                                  <w:sz w:val="21"/>
                                  <w:szCs w:val="21"/>
                                  <w:lang w:eastAsia="en-AU"/>
                                </w:rPr>
                                <w:fldChar w:fldCharType="end"/>
                              </w:r>
                              <w:bookmarkEnd w:id="24"/>
                              <w:r w:rsidRPr="00D45326">
                                <w:rPr>
                                  <w:rFonts w:ascii="Arial" w:eastAsia="Times New Roman" w:hAnsi="Arial" w:cs="Arial"/>
                                  <w:color w:val="414141"/>
                                  <w:sz w:val="21"/>
                                  <w:szCs w:val="21"/>
                                  <w:lang w:eastAsia="en-AU"/>
                                </w:rPr>
                                <w:t> </w:t>
                              </w:r>
                              <w:r w:rsidRPr="00D45326">
                                <w:rPr>
                                  <w:rFonts w:ascii="Arial" w:eastAsia="Times New Roman" w:hAnsi="Arial" w:cs="Arial"/>
                                  <w:i/>
                                  <w:iCs/>
                                  <w:color w:val="414141"/>
                                  <w:sz w:val="21"/>
                                  <w:szCs w:val="21"/>
                                  <w:lang w:eastAsia="en-AU"/>
                                </w:rPr>
                                <w:t>Married Women’s Property Act 1870 </w:t>
                              </w:r>
                              <w:r w:rsidRPr="00D45326">
                                <w:rPr>
                                  <w:rFonts w:ascii="Arial" w:eastAsia="Times New Roman" w:hAnsi="Arial" w:cs="Arial"/>
                                  <w:color w:val="414141"/>
                                  <w:sz w:val="21"/>
                                  <w:szCs w:val="21"/>
                                  <w:lang w:eastAsia="en-AU"/>
                                </w:rPr>
                                <w:t>(Vic) s 2.</w:t>
                              </w:r>
                            </w:p>
                            <w:bookmarkStart w:id="25" w:name="_ftn9"/>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"_ftnref9"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[9]</w:t>
                              </w:r>
                              <w:r w:rsidRPr="00D45326">
                                <w:rPr>
                                  <w:rFonts w:ascii="Arial" w:eastAsia="Times New Roman" w:hAnsi="Arial" w:cs="Arial"/>
                                  <w:color w:val="414141"/>
                                  <w:sz w:val="21"/>
                                  <w:szCs w:val="21"/>
                                  <w:lang w:eastAsia="en-AU"/>
                                </w:rPr>
                                <w:fldChar w:fldCharType="end"/>
                              </w:r>
                              <w:bookmarkEnd w:id="25"/>
                              <w:r w:rsidRPr="00D45326">
                                <w:rPr>
                                  <w:rFonts w:ascii="Arial" w:eastAsia="Times New Roman" w:hAnsi="Arial" w:cs="Arial"/>
                                  <w:color w:val="414141"/>
                                  <w:sz w:val="21"/>
                                  <w:szCs w:val="21"/>
                                  <w:lang w:eastAsia="en-AU"/>
                                </w:rPr>
                                <w:t> </w:t>
                              </w:r>
                              <w:r w:rsidRPr="00D45326">
                                <w:rPr>
                                  <w:rFonts w:ascii="Arial" w:eastAsia="Times New Roman" w:hAnsi="Arial" w:cs="Arial"/>
                                  <w:i/>
                                  <w:iCs/>
                                  <w:color w:val="414141"/>
                                  <w:sz w:val="21"/>
                                  <w:szCs w:val="21"/>
                                  <w:lang w:eastAsia="en-AU"/>
                                </w:rPr>
                                <w:t>Married Women’s Property Act 1870 </w:t>
                              </w:r>
                              <w:r w:rsidRPr="00D45326">
                                <w:rPr>
                                  <w:rFonts w:ascii="Arial" w:eastAsia="Times New Roman" w:hAnsi="Arial" w:cs="Arial"/>
                                  <w:color w:val="414141"/>
                                  <w:sz w:val="21"/>
                                  <w:szCs w:val="21"/>
                                  <w:lang w:eastAsia="en-AU"/>
                                </w:rPr>
                                <w:t>(Vic) ss 10, 12; </w:t>
                              </w:r>
                              <w:r w:rsidRPr="00D45326">
                                <w:rPr>
                                  <w:rFonts w:ascii="Arial" w:eastAsia="Times New Roman" w:hAnsi="Arial" w:cs="Arial"/>
                                  <w:i/>
                                  <w:iCs/>
                                  <w:color w:val="414141"/>
                                  <w:sz w:val="21"/>
                                  <w:szCs w:val="21"/>
                                  <w:lang w:eastAsia="en-AU"/>
                                </w:rPr>
                                <w:t>Married Women’s Property Act 1879 </w:t>
                              </w:r>
                              <w:r w:rsidRPr="00D45326">
                                <w:rPr>
                                  <w:rFonts w:ascii="Arial" w:eastAsia="Times New Roman" w:hAnsi="Arial" w:cs="Arial"/>
                                  <w:color w:val="414141"/>
                                  <w:sz w:val="21"/>
                                  <w:szCs w:val="21"/>
                                  <w:lang w:eastAsia="en-AU"/>
                                </w:rPr>
                                <w:t>(NSW) s 7.</w:t>
                              </w:r>
                            </w:p>
                            <w:bookmarkStart w:id="26" w:name="_ftn10"/>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"_ftnref10"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[10]</w:t>
                              </w:r>
                              <w:r w:rsidRPr="00D45326">
                                <w:rPr>
                                  <w:rFonts w:ascii="Arial" w:eastAsia="Times New Roman" w:hAnsi="Arial" w:cs="Arial"/>
                                  <w:color w:val="414141"/>
                                  <w:sz w:val="21"/>
                                  <w:szCs w:val="21"/>
                                  <w:lang w:eastAsia="en-AU"/>
                                </w:rPr>
                                <w:fldChar w:fldCharType="end"/>
                              </w:r>
                              <w:bookmarkEnd w:id="26"/>
                              <w:r w:rsidRPr="00D45326">
                                <w:rPr>
                                  <w:rFonts w:ascii="Arial" w:eastAsia="Times New Roman" w:hAnsi="Arial" w:cs="Arial"/>
                                  <w:color w:val="414141"/>
                                  <w:sz w:val="21"/>
                                  <w:szCs w:val="21"/>
                                  <w:lang w:eastAsia="en-AU"/>
                                </w:rPr>
                                <w:t> Marc Morris, ‘King John: the Most Evil Monarch in Britain’s history’, </w:t>
                              </w:r>
                              <w:r w:rsidRPr="00D45326">
                                <w:rPr>
                                  <w:rFonts w:ascii="Arial" w:eastAsia="Times New Roman" w:hAnsi="Arial" w:cs="Arial"/>
                                  <w:i/>
                                  <w:iCs/>
                                  <w:color w:val="414141"/>
                                  <w:sz w:val="21"/>
                                  <w:szCs w:val="21"/>
                                  <w:lang w:eastAsia="en-AU"/>
                                </w:rPr>
                                <w:t xml:space="preserve">The </w:t>
                              </w:r>
                              <w:proofErr w:type="gramStart"/>
                              <w:r w:rsidRPr="00D45326">
                                <w:rPr>
                                  <w:rFonts w:ascii="Arial" w:eastAsia="Times New Roman" w:hAnsi="Arial" w:cs="Arial"/>
                                  <w:i/>
                                  <w:iCs/>
                                  <w:color w:val="414141"/>
                                  <w:sz w:val="21"/>
                                  <w:szCs w:val="21"/>
                                  <w:lang w:eastAsia="en-AU"/>
                                </w:rPr>
                                <w:t>Telegraph</w:t>
                              </w:r>
                              <w:r w:rsidRPr="00D45326">
                                <w:rPr>
                                  <w:rFonts w:ascii="Arial" w:eastAsia="Times New Roman" w:hAnsi="Arial" w:cs="Arial"/>
                                  <w:color w:val="414141"/>
                                  <w:sz w:val="21"/>
                                  <w:szCs w:val="21"/>
                                  <w:lang w:eastAsia="en-AU"/>
                                </w:rPr>
                                <w:t>(</w:t>
                              </w:r>
                              <w:proofErr w:type="gramEnd"/>
                              <w:r w:rsidRPr="00D45326">
                                <w:rPr>
                                  <w:rFonts w:ascii="Arial" w:eastAsia="Times New Roman" w:hAnsi="Arial" w:cs="Arial"/>
                                  <w:color w:val="414141"/>
                                  <w:sz w:val="21"/>
                                  <w:szCs w:val="21"/>
                                  <w:lang w:eastAsia="en-AU"/>
                                </w:rPr>
                                <w:t>online), 13 June 2015 &lt;</w:t>
                              </w:r>
                              <w:hyperlink r:id="rId10" w:history="1">
                                <w:r w:rsidRPr="00D45326">
                                  <w:rPr>
                                    <w:rFonts w:ascii="Arial" w:eastAsia="Times New Roman" w:hAnsi="Arial" w:cs="Arial"/>
                                    <w:color w:val="2A3994"/>
                                    <w:sz w:val="21"/>
                                    <w:szCs w:val="21"/>
                                    <w:u w:val="single"/>
                                    <w:lang w:eastAsia="en-AU"/>
                                  </w:rPr>
                                  <w:t>http://www.telegraph.co.uk/culture/11671441/King-John-the-most-evil-monarch-in-Britains-history.html</w:t>
                                </w:r>
                              </w:hyperlink>
                              <w:r w:rsidRPr="00D45326">
                                <w:rPr>
                                  <w:rFonts w:ascii="Arial" w:eastAsia="Times New Roman" w:hAnsi="Arial" w:cs="Arial"/>
                                  <w:color w:val="414141"/>
                                  <w:sz w:val="21"/>
                                  <w:szCs w:val="21"/>
                                  <w:lang w:eastAsia="en-AU"/>
                                </w:rPr>
                                <w:t>&gt;.</w:t>
                              </w:r>
                            </w:p>
                            <w:bookmarkStart w:id="27" w:name="_ftn11"/>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lastRenderedPageBreak/>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"_ftnref11"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[11]</w:t>
                              </w:r>
                              <w:r w:rsidRPr="00D45326">
                                <w:rPr>
                                  <w:rFonts w:ascii="Arial" w:eastAsia="Times New Roman" w:hAnsi="Arial" w:cs="Arial"/>
                                  <w:color w:val="414141"/>
                                  <w:sz w:val="21"/>
                                  <w:szCs w:val="21"/>
                                  <w:lang w:eastAsia="en-AU"/>
                                </w:rPr>
                                <w:fldChar w:fldCharType="end"/>
                              </w:r>
                              <w:bookmarkEnd w:id="27"/>
                              <w:r w:rsidRPr="00D45326">
                                <w:rPr>
                                  <w:rFonts w:ascii="Arial" w:eastAsia="Times New Roman" w:hAnsi="Arial" w:cs="Arial"/>
                                  <w:color w:val="414141"/>
                                  <w:sz w:val="21"/>
                                  <w:szCs w:val="21"/>
                                  <w:lang w:eastAsia="en-AU"/>
                                </w:rPr>
                                <w:t> Ibid.</w:t>
                              </w:r>
                            </w:p>
                            <w:bookmarkStart w:id="28" w:name="_ftn12"/>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"_ftnref12"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[12]</w:t>
                              </w:r>
                              <w:r w:rsidRPr="00D45326">
                                <w:rPr>
                                  <w:rFonts w:ascii="Arial" w:eastAsia="Times New Roman" w:hAnsi="Arial" w:cs="Arial"/>
                                  <w:color w:val="414141"/>
                                  <w:sz w:val="21"/>
                                  <w:szCs w:val="21"/>
                                  <w:lang w:eastAsia="en-AU"/>
                                </w:rPr>
                                <w:fldChar w:fldCharType="end"/>
                              </w:r>
                              <w:bookmarkEnd w:id="28"/>
                              <w:r w:rsidRPr="00D45326">
                                <w:rPr>
                                  <w:rFonts w:ascii="Arial" w:eastAsia="Times New Roman" w:hAnsi="Arial" w:cs="Arial"/>
                                  <w:color w:val="414141"/>
                                  <w:sz w:val="21"/>
                                  <w:szCs w:val="21"/>
                                  <w:lang w:eastAsia="en-AU"/>
                                </w:rPr>
                                <w:t> Cowdery, above n 1, 29.</w:t>
                              </w:r>
                            </w:p>
                            <w:bookmarkStart w:id="29" w:name="_ftn13"/>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"_ftnref13"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[13]</w:t>
                              </w:r>
                              <w:r w:rsidRPr="00D45326">
                                <w:rPr>
                                  <w:rFonts w:ascii="Arial" w:eastAsia="Times New Roman" w:hAnsi="Arial" w:cs="Arial"/>
                                  <w:color w:val="414141"/>
                                  <w:sz w:val="21"/>
                                  <w:szCs w:val="21"/>
                                  <w:lang w:eastAsia="en-AU"/>
                                </w:rPr>
                                <w:fldChar w:fldCharType="end"/>
                              </w:r>
                              <w:bookmarkEnd w:id="29"/>
                              <w:r w:rsidRPr="00D45326">
                                <w:rPr>
                                  <w:rFonts w:ascii="Arial" w:eastAsia="Times New Roman" w:hAnsi="Arial" w:cs="Arial"/>
                                  <w:color w:val="414141"/>
                                  <w:sz w:val="21"/>
                                  <w:szCs w:val="21"/>
                                  <w:lang w:eastAsia="en-AU"/>
                                </w:rPr>
                                <w:t> Ibid 30.</w:t>
                              </w:r>
                            </w:p>
                            <w:bookmarkStart w:id="30" w:name="_ftn14"/>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"_ftnref14"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[14]</w:t>
                              </w:r>
                              <w:r w:rsidRPr="00D45326">
                                <w:rPr>
                                  <w:rFonts w:ascii="Arial" w:eastAsia="Times New Roman" w:hAnsi="Arial" w:cs="Arial"/>
                                  <w:color w:val="414141"/>
                                  <w:sz w:val="21"/>
                                  <w:szCs w:val="21"/>
                                  <w:lang w:eastAsia="en-AU"/>
                                </w:rPr>
                                <w:fldChar w:fldCharType="end"/>
                              </w:r>
                              <w:bookmarkEnd w:id="30"/>
                              <w:r w:rsidRPr="00D45326">
                                <w:rPr>
                                  <w:rFonts w:ascii="Arial" w:eastAsia="Times New Roman" w:hAnsi="Arial" w:cs="Arial"/>
                                  <w:color w:val="414141"/>
                                  <w:sz w:val="21"/>
                                  <w:szCs w:val="21"/>
                                  <w:lang w:eastAsia="en-AU"/>
                                </w:rPr>
                                <w:t> Cowie, above n 4, 6.</w:t>
                              </w:r>
                            </w:p>
                            <w:bookmarkStart w:id="31" w:name="_ftn15"/>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"_ftnref15"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[15]</w:t>
                              </w:r>
                              <w:r w:rsidRPr="00D45326">
                                <w:rPr>
                                  <w:rFonts w:ascii="Arial" w:eastAsia="Times New Roman" w:hAnsi="Arial" w:cs="Arial"/>
                                  <w:color w:val="414141"/>
                                  <w:sz w:val="21"/>
                                  <w:szCs w:val="21"/>
                                  <w:lang w:eastAsia="en-AU"/>
                                </w:rPr>
                                <w:fldChar w:fldCharType="end"/>
                              </w:r>
                              <w:bookmarkEnd w:id="31"/>
                              <w:r w:rsidRPr="00D45326">
                                <w:rPr>
                                  <w:rFonts w:ascii="Arial" w:eastAsia="Times New Roman" w:hAnsi="Arial" w:cs="Arial"/>
                                  <w:color w:val="414141"/>
                                  <w:sz w:val="21"/>
                                  <w:szCs w:val="21"/>
                                  <w:lang w:eastAsia="en-AU"/>
                                </w:rPr>
                                <w:t> Mary Beth Combs, ‘A Measure of Legal Independence: the 1870 Married Women’s Property Act and the Portfolio Allocations of British Wives’ (2005) 65(4) </w:t>
                              </w:r>
                              <w:r w:rsidRPr="00D45326">
                                <w:rPr>
                                  <w:rFonts w:ascii="Arial" w:eastAsia="Times New Roman" w:hAnsi="Arial" w:cs="Arial"/>
                                  <w:i/>
                                  <w:iCs/>
                                  <w:color w:val="414141"/>
                                  <w:sz w:val="21"/>
                                  <w:szCs w:val="21"/>
                                  <w:lang w:eastAsia="en-AU"/>
                                </w:rPr>
                                <w:t>The Journal of Economic History </w:t>
                              </w:r>
                              <w:r w:rsidRPr="00D45326">
                                <w:rPr>
                                  <w:rFonts w:ascii="Arial" w:eastAsia="Times New Roman" w:hAnsi="Arial" w:cs="Arial"/>
                                  <w:color w:val="414141"/>
                                  <w:sz w:val="21"/>
                                  <w:szCs w:val="21"/>
                                  <w:lang w:eastAsia="en-AU"/>
                                </w:rPr>
                                <w:t>1028, 1029.</w:t>
                              </w:r>
                            </w:p>
                            <w:bookmarkStart w:id="32" w:name="_ftn16"/>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"_ftnref16"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[16]</w:t>
                              </w:r>
                              <w:r w:rsidRPr="00D45326">
                                <w:rPr>
                                  <w:rFonts w:ascii="Arial" w:eastAsia="Times New Roman" w:hAnsi="Arial" w:cs="Arial"/>
                                  <w:color w:val="414141"/>
                                  <w:sz w:val="21"/>
                                  <w:szCs w:val="21"/>
                                  <w:lang w:eastAsia="en-AU"/>
                                </w:rPr>
                                <w:fldChar w:fldCharType="end"/>
                              </w:r>
                              <w:bookmarkEnd w:id="32"/>
                              <w:r w:rsidRPr="00D45326">
                                <w:rPr>
                                  <w:rFonts w:ascii="Arial" w:eastAsia="Times New Roman" w:hAnsi="Arial" w:cs="Arial"/>
                                  <w:color w:val="414141"/>
                                  <w:sz w:val="21"/>
                                  <w:szCs w:val="21"/>
                                  <w:lang w:eastAsia="en-AU"/>
                                </w:rPr>
                                <w:t> Ibid 1029.</w:t>
                              </w:r>
                            </w:p>
                            <w:bookmarkStart w:id="33" w:name="_ftn17"/>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fldChar w:fldCharType="begin"/>
                              </w:r>
                              <w:r w:rsidRPr="00D45326">
                                <w:rPr>
                                  <w:rFonts w:ascii="Arial" w:eastAsia="Times New Roman" w:hAnsi="Arial" w:cs="Arial"/>
                                  <w:color w:val="414141"/>
                                  <w:sz w:val="21"/>
                                  <w:szCs w:val="21"/>
                                  <w:lang w:eastAsia="en-AU"/>
                                </w:rPr>
                                <w:instrText xml:space="preserve"> HYPERLINK "http://us4.campaign-archive2.com/?u=d7ac35d590989fce96f6014e9&amp;id=5c773c7645" \l "_ftnref17" \o "" </w:instrText>
                              </w:r>
                              <w:r w:rsidRPr="00D45326">
                                <w:rPr>
                                  <w:rFonts w:ascii="Arial" w:eastAsia="Times New Roman" w:hAnsi="Arial" w:cs="Arial"/>
                                  <w:color w:val="414141"/>
                                  <w:sz w:val="21"/>
                                  <w:szCs w:val="21"/>
                                  <w:lang w:eastAsia="en-AU"/>
                                </w:rPr>
                                <w:fldChar w:fldCharType="separate"/>
                              </w:r>
                              <w:r w:rsidRPr="00D45326">
                                <w:rPr>
                                  <w:rFonts w:ascii="Arial" w:eastAsia="Times New Roman" w:hAnsi="Arial" w:cs="Arial"/>
                                  <w:color w:val="2A3994"/>
                                  <w:sz w:val="21"/>
                                  <w:szCs w:val="21"/>
                                  <w:u w:val="single"/>
                                  <w:lang w:eastAsia="en-AU"/>
                                </w:rPr>
                                <w:t>[17]</w:t>
                              </w:r>
                              <w:r w:rsidRPr="00D45326">
                                <w:rPr>
                                  <w:rFonts w:ascii="Arial" w:eastAsia="Times New Roman" w:hAnsi="Arial" w:cs="Arial"/>
                                  <w:color w:val="414141"/>
                                  <w:sz w:val="21"/>
                                  <w:szCs w:val="21"/>
                                  <w:lang w:eastAsia="en-AU"/>
                                </w:rPr>
                                <w:fldChar w:fldCharType="end"/>
                              </w:r>
                              <w:bookmarkEnd w:id="33"/>
                              <w:r w:rsidRPr="00D45326">
                                <w:rPr>
                                  <w:rFonts w:ascii="Arial" w:eastAsia="Times New Roman" w:hAnsi="Arial" w:cs="Arial"/>
                                  <w:color w:val="414141"/>
                                  <w:sz w:val="21"/>
                                  <w:szCs w:val="21"/>
                                  <w:lang w:eastAsia="en-AU"/>
                                </w:rPr>
                                <w:t> Cowie, above n 4, 6; See, eg, </w:t>
                              </w:r>
                              <w:r w:rsidRPr="00D45326">
                                <w:rPr>
                                  <w:rFonts w:ascii="Arial" w:eastAsia="Times New Roman" w:hAnsi="Arial" w:cs="Arial"/>
                                  <w:i/>
                                  <w:iCs/>
                                  <w:color w:val="414141"/>
                                  <w:sz w:val="21"/>
                                  <w:szCs w:val="21"/>
                                  <w:lang w:eastAsia="en-AU"/>
                                </w:rPr>
                                <w:t>Married Women’s Property Act 1870</w:t>
                              </w:r>
                              <w:r w:rsidRPr="00D45326">
                                <w:rPr>
                                  <w:rFonts w:ascii="Arial" w:eastAsia="Times New Roman" w:hAnsi="Arial" w:cs="Arial"/>
                                  <w:color w:val="414141"/>
                                  <w:sz w:val="21"/>
                                  <w:szCs w:val="21"/>
                                  <w:lang w:eastAsia="en-AU"/>
                                </w:rPr>
                                <w:t> (Vic) s 4.</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t> </w:t>
                              </w:r>
                            </w:p>
                          </w:tc>
                        </w:tr>
                      </w:tbl>
                      <w:p w:rsidR="00D45326" w:rsidRPr="00D45326" w:rsidRDefault="00D45326" w:rsidP="00D45326">
                        <w:pPr>
                          <w:spacing w:after="0" w:line="240" w:lineRule="auto"/>
                          <w:rPr>
                            <w:rFonts w:ascii="Times New Roman" w:eastAsia="Times New Roman" w:hAnsi="Times New Roman" w:cs="Times New Roman"/>
                            <w:sz w:val="24"/>
                            <w:szCs w:val="24"/>
                            <w:lang w:eastAsia="en-AU"/>
                          </w:rPr>
                        </w:pPr>
                      </w:p>
                    </w:tc>
                  </w:tr>
                  <w:tr w:rsidR="00D45326" w:rsidRPr="00D45326">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D45326" w:rsidRPr="00D45326">
                          <w:tc>
                            <w:tcPr>
                              <w:tcW w:w="0" w:type="auto"/>
                              <w:hideMark/>
                            </w:tcPr>
                            <w:p w:rsidR="00D45326" w:rsidRPr="00D45326" w:rsidRDefault="00D45326" w:rsidP="00D45326">
                              <w:pPr>
                                <w:spacing w:after="0" w:line="315" w:lineRule="atLeast"/>
                                <w:jc w:val="center"/>
                                <w:rPr>
                                  <w:rFonts w:ascii="Arial" w:eastAsia="Times New Roman" w:hAnsi="Arial" w:cs="Arial"/>
                                  <w:color w:val="414141"/>
                                  <w:sz w:val="21"/>
                                  <w:szCs w:val="21"/>
                                  <w:lang w:eastAsia="en-AU"/>
                                </w:rPr>
                              </w:pPr>
                              <w:r>
                                <w:rPr>
                                  <w:rFonts w:ascii="Arial" w:eastAsia="Times New Roman" w:hAnsi="Arial" w:cs="Arial"/>
                                  <w:noProof/>
                                  <w:color w:val="414141"/>
                                  <w:sz w:val="21"/>
                                  <w:szCs w:val="21"/>
                                  <w:lang w:eastAsia="en-AU"/>
                                </w:rPr>
                                <w:lastRenderedPageBreak/>
                                <w:drawing>
                                  <wp:inline distT="0" distB="0" distL="0" distR="0">
                                    <wp:extent cx="1600200" cy="1524000"/>
                                    <wp:effectExtent l="0" t="0" r="0" b="0"/>
                                    <wp:docPr id="1" name="Picture 1" descr="https://gallery.mailchimp.com/d7ac35d590989fce96f6014e9/images/a85d1e89-5902-40c7-a8a0-13d6d1cca3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d7ac35d590989fce96f6014e9/images/a85d1e89-5902-40c7-a8a0-13d6d1cca31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00D45326" w:rsidRPr="00D45326" w:rsidRDefault="00D45326" w:rsidP="00D45326">
                              <w:pPr>
                                <w:spacing w:after="150" w:line="450" w:lineRule="atLeast"/>
                                <w:outlineLvl w:val="1"/>
                                <w:rPr>
                                  <w:rFonts w:ascii="Arial" w:eastAsia="Times New Roman" w:hAnsi="Arial" w:cs="Arial"/>
                                  <w:color w:val="000000"/>
                                  <w:sz w:val="45"/>
                                  <w:szCs w:val="45"/>
                                  <w:lang w:eastAsia="en-AU"/>
                                </w:rPr>
                              </w:pPr>
                              <w:r w:rsidRPr="00D45326">
                                <w:rPr>
                                  <w:rFonts w:ascii="Arial" w:eastAsia="Times New Roman" w:hAnsi="Arial" w:cs="Arial"/>
                                  <w:color w:val="000000"/>
                                  <w:sz w:val="45"/>
                                  <w:szCs w:val="45"/>
                                  <w:lang w:eastAsia="en-AU"/>
                                </w:rPr>
                                <w:br/>
                              </w:r>
                              <w:r w:rsidRPr="00D45326">
                                <w:rPr>
                                  <w:rFonts w:ascii="Arial" w:eastAsia="Times New Roman" w:hAnsi="Arial" w:cs="Arial"/>
                                  <w:color w:val="000000"/>
                                  <w:sz w:val="45"/>
                                  <w:szCs w:val="45"/>
                                  <w:lang w:eastAsia="en-AU"/>
                                </w:rPr>
                                <w:br/>
                              </w:r>
                              <w:r w:rsidRPr="00D45326">
                                <w:rPr>
                                  <w:rFonts w:ascii="Arial" w:eastAsia="Times New Roman" w:hAnsi="Arial" w:cs="Arial"/>
                                  <w:color w:val="000000"/>
                                  <w:sz w:val="45"/>
                                  <w:szCs w:val="45"/>
                                  <w:lang w:eastAsia="en-AU"/>
                                </w:rPr>
                                <w:br/>
                              </w:r>
                              <w:r w:rsidRPr="00D45326">
                                <w:rPr>
                                  <w:rFonts w:ascii="Arial" w:eastAsia="Times New Roman" w:hAnsi="Arial" w:cs="Arial"/>
                                  <w:color w:val="000000"/>
                                  <w:sz w:val="45"/>
                                  <w:szCs w:val="45"/>
                                  <w:lang w:eastAsia="en-AU"/>
                                </w:rPr>
                                <w:br/>
                              </w:r>
                              <w:r w:rsidRPr="00D45326">
                                <w:rPr>
                                  <w:rFonts w:ascii="Arial" w:eastAsia="Times New Roman" w:hAnsi="Arial" w:cs="Arial"/>
                                  <w:i/>
                                  <w:iCs/>
                                  <w:color w:val="000000"/>
                                  <w:sz w:val="45"/>
                                  <w:szCs w:val="45"/>
                                  <w:u w:val="single"/>
                                  <w:lang w:eastAsia="en-AU"/>
                                </w:rPr>
                                <w:t>Australian Law Through the Eyes of an English Law Student</w:t>
                              </w:r>
                            </w:p>
                            <w:p w:rsidR="00D45326" w:rsidRPr="00D45326" w:rsidRDefault="00D45326" w:rsidP="00D45326">
                              <w:pPr>
                                <w:spacing w:after="0" w:line="315" w:lineRule="atLeast"/>
                                <w:rPr>
                                  <w:rFonts w:ascii="Arial" w:eastAsia="Times New Roman" w:hAnsi="Arial" w:cs="Arial"/>
                                  <w:color w:val="414141"/>
                                  <w:sz w:val="21"/>
                                  <w:szCs w:val="21"/>
                                  <w:lang w:eastAsia="en-AU"/>
                                </w:rPr>
                              </w:pPr>
                              <w:r w:rsidRPr="00D45326">
                                <w:rPr>
                                  <w:rFonts w:ascii="Arial" w:eastAsia="Times New Roman" w:hAnsi="Arial" w:cs="Arial"/>
                                  <w:i/>
                                  <w:iCs/>
                                  <w:color w:val="414141"/>
                                  <w:sz w:val="21"/>
                                  <w:szCs w:val="21"/>
                                  <w:lang w:eastAsia="en-AU"/>
                                </w:rPr>
                                <w:t>Faye Edwards</w:t>
                              </w:r>
                              <w:r w:rsidRPr="00D45326">
                                <w:rPr>
                                  <w:rFonts w:ascii="Arial" w:eastAsia="Times New Roman" w:hAnsi="Arial" w:cs="Arial"/>
                                  <w:color w:val="414141"/>
                                  <w:sz w:val="21"/>
                                  <w:szCs w:val="21"/>
                                  <w:lang w:eastAsia="en-AU"/>
                                </w:rPr>
                                <w:t> (Intern - Liverpool University Student)</w:t>
                              </w:r>
                              <w:r w:rsidRPr="00D45326">
                                <w:rPr>
                                  <w:rFonts w:ascii="Arial" w:eastAsia="Times New Roman" w:hAnsi="Arial" w:cs="Arial"/>
                                  <w:color w:val="414141"/>
                                  <w:sz w:val="21"/>
                                  <w:szCs w:val="21"/>
                                  <w:lang w:eastAsia="en-AU"/>
                                </w:rPr>
                                <w:br/>
                              </w:r>
                              <w:r w:rsidRPr="00D45326">
                                <w:rPr>
                                  <w:rFonts w:ascii="Arial" w:eastAsia="Times New Roman" w:hAnsi="Arial" w:cs="Arial"/>
                                  <w:color w:val="414141"/>
                                  <w:sz w:val="21"/>
                                  <w:szCs w:val="21"/>
                                  <w:lang w:eastAsia="en-AU"/>
                                </w:rPr>
                                <w:br/>
                                <w:t> </w:t>
                              </w:r>
                            </w:p>
                            <w:p w:rsidR="00D45326" w:rsidRPr="00D45326" w:rsidRDefault="00D45326" w:rsidP="00D45326">
                              <w:pPr>
                                <w:spacing w:after="150" w:line="510" w:lineRule="atLeast"/>
                                <w:outlineLvl w:val="0"/>
                                <w:rPr>
                                  <w:rFonts w:ascii="Arial" w:eastAsia="Times New Roman" w:hAnsi="Arial" w:cs="Arial"/>
                                  <w:color w:val="2A3994"/>
                                  <w:kern w:val="36"/>
                                  <w:sz w:val="51"/>
                                  <w:szCs w:val="51"/>
                                  <w:lang w:eastAsia="en-AU"/>
                                </w:rPr>
                              </w:pPr>
                              <w:r w:rsidRPr="00D45326">
                                <w:rPr>
                                  <w:rFonts w:ascii="Arial" w:eastAsia="Times New Roman" w:hAnsi="Arial" w:cs="Arial"/>
                                  <w:color w:val="000000"/>
                                  <w:kern w:val="36"/>
                                  <w:sz w:val="21"/>
                                  <w:szCs w:val="21"/>
                                  <w:lang w:eastAsia="en-AU"/>
                                </w:rPr>
                                <w:t xml:space="preserve">Australian law has developed from the traditions of the English common law with often the term, “legal history” meaning, </w:t>
                              </w:r>
                              <w:proofErr w:type="gramStart"/>
                              <w:r w:rsidRPr="00D45326">
                                <w:rPr>
                                  <w:rFonts w:ascii="Arial" w:eastAsia="Times New Roman" w:hAnsi="Arial" w:cs="Arial"/>
                                  <w:color w:val="000000"/>
                                  <w:kern w:val="36"/>
                                  <w:sz w:val="21"/>
                                  <w:szCs w:val="21"/>
                                  <w:lang w:eastAsia="en-AU"/>
                                </w:rPr>
                                <w:t>“</w:t>
                              </w:r>
                              <w:proofErr w:type="gramEnd"/>
                              <w:r w:rsidRPr="00D45326">
                                <w:rPr>
                                  <w:rFonts w:ascii="Arial" w:eastAsia="Times New Roman" w:hAnsi="Arial" w:cs="Arial"/>
                                  <w:color w:val="000000"/>
                                  <w:kern w:val="36"/>
                                  <w:sz w:val="21"/>
                                  <w:szCs w:val="21"/>
                                  <w:lang w:eastAsia="en-AU"/>
                                </w:rPr>
                                <w:t xml:space="preserve">English legal history.” In 1924, when the Australian Law Schools agreed to establish a Master of Law degree, the history of English law was a </w:t>
                              </w:r>
                              <w:r w:rsidRPr="00D45326">
                                <w:rPr>
                                  <w:rFonts w:ascii="Arial" w:eastAsia="Times New Roman" w:hAnsi="Arial" w:cs="Arial"/>
                                  <w:color w:val="000000"/>
                                  <w:kern w:val="36"/>
                                  <w:sz w:val="21"/>
                                  <w:szCs w:val="21"/>
                                  <w:lang w:eastAsia="en-AU"/>
                                </w:rPr>
                                <w:lastRenderedPageBreak/>
                                <w:t>required subject.</w:t>
                              </w:r>
                              <w:r w:rsidRPr="00D45326">
                                <w:rPr>
                                  <w:rFonts w:ascii="Arial" w:eastAsia="Times New Roman" w:hAnsi="Arial" w:cs="Arial"/>
                                  <w:color w:val="000000"/>
                                  <w:kern w:val="36"/>
                                  <w:sz w:val="21"/>
                                  <w:szCs w:val="21"/>
                                  <w:lang w:eastAsia="en-AU"/>
                                </w:rPr>
                                <w:br/>
                              </w:r>
                              <w:r w:rsidRPr="00D45326">
                                <w:rPr>
                                  <w:rFonts w:ascii="Arial" w:eastAsia="Times New Roman" w:hAnsi="Arial" w:cs="Arial"/>
                                  <w:color w:val="000000"/>
                                  <w:kern w:val="36"/>
                                  <w:sz w:val="21"/>
                                  <w:szCs w:val="21"/>
                                  <w:lang w:eastAsia="en-AU"/>
                                </w:rPr>
                                <w:br/>
                                <w:t>Legal historian, David Neal, has challenged the view of the foundations of the Australian legal system and has sought to demonstrate that Australian law always has been different and distinct from the English Legal System. However, upon my first glance of the Australian legal system, it would appear to have been heavily influenced by the English legal system. Both legal systems rely on a source of Legislation from a) common law, (the judgments from the courts creating the basis of legal principles) and b) statutes.</w:t>
                              </w:r>
                              <w:r w:rsidRPr="00D45326">
                                <w:rPr>
                                  <w:rFonts w:ascii="Arial" w:eastAsia="Times New Roman" w:hAnsi="Arial" w:cs="Arial"/>
                                  <w:color w:val="000000"/>
                                  <w:kern w:val="36"/>
                                  <w:sz w:val="21"/>
                                  <w:szCs w:val="21"/>
                                  <w:lang w:eastAsia="en-AU"/>
                                </w:rPr>
                                <w:br/>
                              </w:r>
                              <w:r w:rsidRPr="00D45326">
                                <w:rPr>
                                  <w:rFonts w:ascii="Arial" w:eastAsia="Times New Roman" w:hAnsi="Arial" w:cs="Arial"/>
                                  <w:color w:val="000000"/>
                                  <w:kern w:val="36"/>
                                  <w:sz w:val="21"/>
                                  <w:szCs w:val="21"/>
                                  <w:lang w:eastAsia="en-AU"/>
                                </w:rPr>
                                <w:br/>
                                <w:t xml:space="preserve">However, one of the key distinctions between the two systems is that the Australian legal system has created a written, codified Constitution of the Commonwealth of Australian, something in which the English legal system is yet to create, despite its great length of development by comparison.  This codified constitution, which may suggest Australian </w:t>
                              </w:r>
                              <w:proofErr w:type="gramStart"/>
                              <w:r w:rsidRPr="00D45326">
                                <w:rPr>
                                  <w:rFonts w:ascii="Arial" w:eastAsia="Times New Roman" w:hAnsi="Arial" w:cs="Arial"/>
                                  <w:color w:val="000000"/>
                                  <w:kern w:val="36"/>
                                  <w:sz w:val="21"/>
                                  <w:szCs w:val="21"/>
                                  <w:lang w:eastAsia="en-AU"/>
                                </w:rPr>
                                <w:t>law</w:t>
                              </w:r>
                              <w:proofErr w:type="gramEnd"/>
                              <w:r w:rsidRPr="00D45326">
                                <w:rPr>
                                  <w:rFonts w:ascii="Arial" w:eastAsia="Times New Roman" w:hAnsi="Arial" w:cs="Arial"/>
                                  <w:color w:val="000000"/>
                                  <w:kern w:val="36"/>
                                  <w:sz w:val="21"/>
                                  <w:szCs w:val="21"/>
                                  <w:lang w:eastAsia="en-AU"/>
                                </w:rPr>
                                <w:t xml:space="preserve"> is independent to that of English law, had to be agreed by the British Parliament before the colonies could unite as a nation. It wasn’t until 1986, that an Australian Act removed all remaining legal ties between the British and Australian governments, and hence, English precedents were, for the first time, no longer authority and Australian law reports became the major source of judicial authority.</w:t>
                              </w:r>
                              <w:r w:rsidRPr="00D45326">
                                <w:rPr>
                                  <w:rFonts w:ascii="Arial" w:eastAsia="Times New Roman" w:hAnsi="Arial" w:cs="Arial"/>
                                  <w:color w:val="000000"/>
                                  <w:kern w:val="36"/>
                                  <w:sz w:val="21"/>
                                  <w:szCs w:val="21"/>
                                  <w:lang w:eastAsia="en-AU"/>
                                </w:rPr>
                                <w:br/>
                              </w:r>
                              <w:r w:rsidRPr="00D45326">
                                <w:rPr>
                                  <w:rFonts w:ascii="Arial" w:eastAsia="Times New Roman" w:hAnsi="Arial" w:cs="Arial"/>
                                  <w:color w:val="000000"/>
                                  <w:kern w:val="36"/>
                                  <w:sz w:val="21"/>
                                  <w:szCs w:val="21"/>
                                  <w:lang w:eastAsia="en-AU"/>
                                </w:rPr>
                                <w:br/>
                                <w:t xml:space="preserve">Having spent four weeks in the office of Clive Mills &amp; Associates, a Family, Property and Commercial law firm based in the heart of Sydney, I see very few differences between the two legal systems. In theory, much of the law relied upon in Australia mirrors that of the law relied upon in the English Legal System. The most noticeable </w:t>
                              </w:r>
                              <w:proofErr w:type="gramStart"/>
                              <w:r w:rsidRPr="00D45326">
                                <w:rPr>
                                  <w:rFonts w:ascii="Arial" w:eastAsia="Times New Roman" w:hAnsi="Arial" w:cs="Arial"/>
                                  <w:color w:val="000000"/>
                                  <w:kern w:val="36"/>
                                  <w:sz w:val="21"/>
                                  <w:szCs w:val="21"/>
                                  <w:lang w:eastAsia="en-AU"/>
                                </w:rPr>
                                <w:t>difference,</w:t>
                              </w:r>
                              <w:proofErr w:type="gramEnd"/>
                              <w:r w:rsidRPr="00D45326">
                                <w:rPr>
                                  <w:rFonts w:ascii="Arial" w:eastAsia="Times New Roman" w:hAnsi="Arial" w:cs="Arial"/>
                                  <w:color w:val="000000"/>
                                  <w:kern w:val="36"/>
                                  <w:sz w:val="21"/>
                                  <w:szCs w:val="21"/>
                                  <w:lang w:eastAsia="en-AU"/>
                                </w:rPr>
                                <w:t xml:space="preserve"> is how this law is used in day to day practice. I was lucky enough to attend the Federal Circuit Court in Sydney during my internship and was surprised by the pleasant, and informal, language used between the acting solicitor and the Judge. In comparison, court etiquette in English </w:t>
                              </w:r>
                              <w:r w:rsidRPr="00D45326">
                                <w:rPr>
                                  <w:rFonts w:ascii="Arial" w:eastAsia="Times New Roman" w:hAnsi="Arial" w:cs="Arial"/>
                                  <w:color w:val="000000"/>
                                  <w:kern w:val="36"/>
                                  <w:sz w:val="21"/>
                                  <w:szCs w:val="21"/>
                                  <w:lang w:eastAsia="en-AU"/>
                                </w:rPr>
                                <w:lastRenderedPageBreak/>
                                <w:t>courts involves the use of formal, archaic language which your everyday person would struggle to understand. I found that the relatively relaxed atmosphere of the Federal Circuit Court provides great advantages to clients, in that, each client can present themselves in a way which feels comfortable to them and represents a true reflection of their character. In turn, this provides the Judge with a greater knowledge of what is, and what is not, in the best interests of each party and/or any children involved. I fear that the strict and rigid rules in place in English courts are causing clients to feel more anxious and nervous over how they may come across in court, causing them to be at a disadvantage before the case is even disputed.</w:t>
                              </w:r>
                              <w:r w:rsidRPr="00D45326">
                                <w:rPr>
                                  <w:rFonts w:ascii="Arial" w:eastAsia="Times New Roman" w:hAnsi="Arial" w:cs="Arial"/>
                                  <w:color w:val="000000"/>
                                  <w:kern w:val="36"/>
                                  <w:sz w:val="21"/>
                                  <w:szCs w:val="21"/>
                                  <w:lang w:eastAsia="en-AU"/>
                                </w:rPr>
                                <w:br/>
                              </w:r>
                              <w:r w:rsidRPr="00D45326">
                                <w:rPr>
                                  <w:rFonts w:ascii="Arial" w:eastAsia="Times New Roman" w:hAnsi="Arial" w:cs="Arial"/>
                                  <w:color w:val="000000"/>
                                  <w:kern w:val="36"/>
                                  <w:sz w:val="21"/>
                                  <w:szCs w:val="21"/>
                                  <w:lang w:eastAsia="en-AU"/>
                                </w:rPr>
                                <w:br/>
                                <w:t>A more relaxed atmosphere and pleasant informal language between lawyers in court is something which I hope the English courts may adopt in the near future, in turn, giving clients more confidence in their ability to discuss the matter at hand whilst providing the best resolution for each client in a manner that is as unnerving and natural as possible.</w:t>
                              </w:r>
                            </w:p>
                          </w:tc>
                        </w:tr>
                      </w:tbl>
                      <w:p w:rsidR="00D45326" w:rsidRPr="00D45326" w:rsidRDefault="00D45326" w:rsidP="00D45326">
                        <w:pPr>
                          <w:spacing w:after="0" w:line="240" w:lineRule="auto"/>
                          <w:rPr>
                            <w:rFonts w:ascii="Times New Roman" w:eastAsia="Times New Roman" w:hAnsi="Times New Roman" w:cs="Times New Roman"/>
                            <w:sz w:val="24"/>
                            <w:szCs w:val="24"/>
                            <w:lang w:eastAsia="en-AU"/>
                          </w:rPr>
                        </w:pPr>
                      </w:p>
                    </w:tc>
                  </w:tr>
                </w:tbl>
                <w:p w:rsidR="00D45326" w:rsidRPr="00D45326" w:rsidRDefault="00D45326" w:rsidP="00D45326">
                  <w:pPr>
                    <w:spacing w:after="0" w:line="240" w:lineRule="auto"/>
                    <w:rPr>
                      <w:rFonts w:ascii="Times New Roman" w:eastAsia="Times New Roman" w:hAnsi="Times New Roman" w:cs="Times New Roman"/>
                      <w:sz w:val="24"/>
                      <w:szCs w:val="24"/>
                      <w:lang w:eastAsia="en-AU"/>
                    </w:rPr>
                  </w:pPr>
                </w:p>
              </w:tc>
            </w:tr>
          </w:tbl>
          <w:p w:rsidR="00D45326" w:rsidRPr="00D45326" w:rsidRDefault="00D45326" w:rsidP="00D45326">
            <w:pPr>
              <w:spacing w:after="0" w:line="240" w:lineRule="auto"/>
              <w:jc w:val="center"/>
              <w:rPr>
                <w:rFonts w:ascii="Times New Roman" w:eastAsia="Times New Roman" w:hAnsi="Times New Roman" w:cs="Times New Roman"/>
                <w:color w:val="000000"/>
                <w:sz w:val="27"/>
                <w:szCs w:val="27"/>
                <w:lang w:eastAsia="en-AU"/>
              </w:rPr>
            </w:pPr>
          </w:p>
        </w:tc>
      </w:tr>
    </w:tbl>
    <w:p w:rsidR="00E916D2" w:rsidRDefault="00E916D2">
      <w:bookmarkStart w:id="34" w:name="_GoBack"/>
      <w:bookmarkEnd w:id="34"/>
    </w:p>
    <w:sectPr w:rsidR="00E91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30F"/>
    <w:multiLevelType w:val="multilevel"/>
    <w:tmpl w:val="D0D2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308A5"/>
    <w:multiLevelType w:val="multilevel"/>
    <w:tmpl w:val="93B2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B5389"/>
    <w:multiLevelType w:val="multilevel"/>
    <w:tmpl w:val="CC5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B1788"/>
    <w:multiLevelType w:val="multilevel"/>
    <w:tmpl w:val="F34E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618AD"/>
    <w:multiLevelType w:val="multilevel"/>
    <w:tmpl w:val="AABE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4316BF"/>
    <w:multiLevelType w:val="multilevel"/>
    <w:tmpl w:val="9902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26"/>
    <w:rsid w:val="00D45326"/>
    <w:rsid w:val="00E91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5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4532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32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45326"/>
    <w:rPr>
      <w:rFonts w:ascii="Times New Roman" w:eastAsia="Times New Roman" w:hAnsi="Times New Roman" w:cs="Times New Roman"/>
      <w:b/>
      <w:bCs/>
      <w:sz w:val="36"/>
      <w:szCs w:val="36"/>
      <w:lang w:eastAsia="en-AU"/>
    </w:rPr>
  </w:style>
  <w:style w:type="character" w:styleId="Emphasis">
    <w:name w:val="Emphasis"/>
    <w:basedOn w:val="DefaultParagraphFont"/>
    <w:uiPriority w:val="20"/>
    <w:qFormat/>
    <w:rsid w:val="00D45326"/>
    <w:rPr>
      <w:i/>
      <w:iCs/>
    </w:rPr>
  </w:style>
  <w:style w:type="character" w:customStyle="1" w:styleId="apple-converted-space">
    <w:name w:val="apple-converted-space"/>
    <w:basedOn w:val="DefaultParagraphFont"/>
    <w:rsid w:val="00D45326"/>
  </w:style>
  <w:style w:type="character" w:styleId="Strong">
    <w:name w:val="Strong"/>
    <w:basedOn w:val="DefaultParagraphFont"/>
    <w:uiPriority w:val="22"/>
    <w:qFormat/>
    <w:rsid w:val="00D45326"/>
    <w:rPr>
      <w:b/>
      <w:bCs/>
    </w:rPr>
  </w:style>
  <w:style w:type="character" w:styleId="Hyperlink">
    <w:name w:val="Hyperlink"/>
    <w:basedOn w:val="DefaultParagraphFont"/>
    <w:uiPriority w:val="99"/>
    <w:semiHidden/>
    <w:unhideWhenUsed/>
    <w:rsid w:val="00D45326"/>
    <w:rPr>
      <w:color w:val="0000FF"/>
      <w:u w:val="single"/>
    </w:rPr>
  </w:style>
  <w:style w:type="paragraph" w:styleId="BalloonText">
    <w:name w:val="Balloon Text"/>
    <w:basedOn w:val="Normal"/>
    <w:link w:val="BalloonTextChar"/>
    <w:uiPriority w:val="99"/>
    <w:semiHidden/>
    <w:unhideWhenUsed/>
    <w:rsid w:val="00D4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5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4532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32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45326"/>
    <w:rPr>
      <w:rFonts w:ascii="Times New Roman" w:eastAsia="Times New Roman" w:hAnsi="Times New Roman" w:cs="Times New Roman"/>
      <w:b/>
      <w:bCs/>
      <w:sz w:val="36"/>
      <w:szCs w:val="36"/>
      <w:lang w:eastAsia="en-AU"/>
    </w:rPr>
  </w:style>
  <w:style w:type="character" w:styleId="Emphasis">
    <w:name w:val="Emphasis"/>
    <w:basedOn w:val="DefaultParagraphFont"/>
    <w:uiPriority w:val="20"/>
    <w:qFormat/>
    <w:rsid w:val="00D45326"/>
    <w:rPr>
      <w:i/>
      <w:iCs/>
    </w:rPr>
  </w:style>
  <w:style w:type="character" w:customStyle="1" w:styleId="apple-converted-space">
    <w:name w:val="apple-converted-space"/>
    <w:basedOn w:val="DefaultParagraphFont"/>
    <w:rsid w:val="00D45326"/>
  </w:style>
  <w:style w:type="character" w:styleId="Strong">
    <w:name w:val="Strong"/>
    <w:basedOn w:val="DefaultParagraphFont"/>
    <w:uiPriority w:val="22"/>
    <w:qFormat/>
    <w:rsid w:val="00D45326"/>
    <w:rPr>
      <w:b/>
      <w:bCs/>
    </w:rPr>
  </w:style>
  <w:style w:type="character" w:styleId="Hyperlink">
    <w:name w:val="Hyperlink"/>
    <w:basedOn w:val="DefaultParagraphFont"/>
    <w:uiPriority w:val="99"/>
    <w:semiHidden/>
    <w:unhideWhenUsed/>
    <w:rsid w:val="00D45326"/>
    <w:rPr>
      <w:color w:val="0000FF"/>
      <w:u w:val="single"/>
    </w:rPr>
  </w:style>
  <w:style w:type="paragraph" w:styleId="BalloonText">
    <w:name w:val="Balloon Text"/>
    <w:basedOn w:val="Normal"/>
    <w:link w:val="BalloonTextChar"/>
    <w:uiPriority w:val="99"/>
    <w:semiHidden/>
    <w:unhideWhenUsed/>
    <w:rsid w:val="00D4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telegraph.co.uk/culture/11671441/King-John-the-most-evil-monarch-in-Britains-history.html" TargetMode="External"/><Relationship Id="rId4" Type="http://schemas.openxmlformats.org/officeDocument/2006/relationships/settings" Target="settings.xml"/><Relationship Id="rId9" Type="http://schemas.openxmlformats.org/officeDocument/2006/relationships/hyperlink" Target="http://www.smh.com.au/world/magna-carta-nine-facts-you-may-not-know-20150615-ghnuz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2016-08-23T01:19:00Z</dcterms:created>
  <dcterms:modified xsi:type="dcterms:W3CDTF">2016-08-23T01:19:00Z</dcterms:modified>
</cp:coreProperties>
</file>