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296"/>
      </w:tblGrid>
      <w:tr w:rsidR="00170842" w:rsidRPr="00170842" w:rsidTr="00170842">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70842" w:rsidRPr="00170842">
              <w:tc>
                <w:tcPr>
                  <w:tcW w:w="0" w:type="auto"/>
                  <w:tcMar>
                    <w:top w:w="0" w:type="dxa"/>
                    <w:left w:w="135" w:type="dxa"/>
                    <w:bottom w:w="0" w:type="dxa"/>
                    <w:right w:w="135" w:type="dxa"/>
                  </w:tcMar>
                  <w:hideMark/>
                </w:tcPr>
                <w:p w:rsidR="00170842" w:rsidRPr="00170842" w:rsidRDefault="00170842" w:rsidP="0017084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953000" cy="1247775"/>
                        <wp:effectExtent l="0" t="0" r="0" b="9525"/>
                        <wp:wrapSquare wrapText="bothSides"/>
                        <wp:docPr id="1" name="Picture 1" descr="https://gallery.mailchimp.com/d7ac35d590989fce96f6014e9/images/0d34d945-0ae2-46b7-9fd6-f31cd5f16e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d7ac35d590989fce96f6014e9/images/0d34d945-0ae2-46b7-9fd6-f31cd5f16e0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70842" w:rsidRPr="00170842" w:rsidRDefault="00170842" w:rsidP="00170842">
            <w:pPr>
              <w:spacing w:after="0" w:line="240" w:lineRule="auto"/>
              <w:rPr>
                <w:rFonts w:ascii="Times New Roman" w:eastAsia="Times New Roman" w:hAnsi="Times New Roman" w:cs="Times New Roman"/>
                <w:color w:val="000000"/>
                <w:sz w:val="27"/>
                <w:szCs w:val="27"/>
                <w:lang w:eastAsia="en-AU"/>
              </w:rPr>
            </w:pPr>
          </w:p>
        </w:tc>
      </w:tr>
    </w:tbl>
    <w:p w:rsidR="00170842" w:rsidRPr="00170842" w:rsidRDefault="00170842" w:rsidP="00170842">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26"/>
      </w:tblGrid>
      <w:tr w:rsidR="00170842" w:rsidRPr="00170842" w:rsidTr="00170842">
        <w:tc>
          <w:tcPr>
            <w:tcW w:w="0" w:type="auto"/>
            <w:hideMark/>
          </w:tcPr>
          <w:tbl>
            <w:tblPr>
              <w:tblpPr w:leftFromText="45" w:rightFromText="45" w:vertAnchor="text"/>
              <w:tblW w:w="8400" w:type="dxa"/>
              <w:tblCellMar>
                <w:left w:w="0" w:type="dxa"/>
                <w:right w:w="0" w:type="dxa"/>
              </w:tblCellMar>
              <w:tblLook w:val="04A0" w:firstRow="1" w:lastRow="0" w:firstColumn="1" w:lastColumn="0" w:noHBand="0" w:noVBand="1"/>
            </w:tblPr>
            <w:tblGrid>
              <w:gridCol w:w="8400"/>
            </w:tblGrid>
            <w:tr w:rsidR="00170842" w:rsidRPr="00170842">
              <w:tc>
                <w:tcPr>
                  <w:tcW w:w="0" w:type="auto"/>
                  <w:tcMar>
                    <w:top w:w="135" w:type="dxa"/>
                    <w:left w:w="270" w:type="dxa"/>
                    <w:bottom w:w="135" w:type="dxa"/>
                    <w:right w:w="270" w:type="dxa"/>
                  </w:tcMar>
                  <w:hideMark/>
                </w:tcPr>
                <w:p w:rsidR="00170842" w:rsidRPr="00170842" w:rsidRDefault="00170842" w:rsidP="00170842">
                  <w:pPr>
                    <w:spacing w:after="0" w:line="563" w:lineRule="atLeast"/>
                    <w:jc w:val="center"/>
                    <w:outlineLvl w:val="0"/>
                    <w:rPr>
                      <w:rFonts w:ascii="Georgia" w:eastAsia="Times New Roman" w:hAnsi="Georgia" w:cs="Times New Roman"/>
                      <w:color w:val="3F3F38"/>
                      <w:spacing w:val="-15"/>
                      <w:kern w:val="36"/>
                      <w:sz w:val="45"/>
                      <w:szCs w:val="45"/>
                      <w:lang w:eastAsia="en-AU"/>
                    </w:rPr>
                  </w:pPr>
                  <w:r w:rsidRPr="00170842">
                    <w:rPr>
                      <w:rFonts w:ascii="Arial" w:eastAsia="Times New Roman" w:hAnsi="Arial" w:cs="Arial"/>
                      <w:color w:val="3F3F38"/>
                      <w:spacing w:val="-15"/>
                      <w:kern w:val="36"/>
                      <w:sz w:val="45"/>
                      <w:szCs w:val="45"/>
                      <w:lang w:eastAsia="en-AU"/>
                    </w:rPr>
                    <w:t>Season's Greetings! </w:t>
                  </w:r>
                </w:p>
                <w:p w:rsidR="00170842" w:rsidRPr="00170842" w:rsidRDefault="00170842" w:rsidP="00170842">
                  <w:pPr>
                    <w:spacing w:after="0" w:line="315" w:lineRule="atLeast"/>
                    <w:rPr>
                      <w:rFonts w:ascii="Georgia" w:eastAsia="Times New Roman" w:hAnsi="Georgia" w:cs="Times New Roman"/>
                      <w:color w:val="3F3F38"/>
                      <w:sz w:val="21"/>
                      <w:szCs w:val="21"/>
                      <w:lang w:eastAsia="en-AU"/>
                    </w:rPr>
                  </w:pPr>
                  <w:r w:rsidRPr="00170842">
                    <w:rPr>
                      <w:rFonts w:ascii="Georgia" w:eastAsia="Times New Roman" w:hAnsi="Georgia" w:cs="Times New Roman"/>
                      <w:color w:val="3F3F38"/>
                      <w:sz w:val="21"/>
                      <w:szCs w:val="21"/>
                      <w:lang w:eastAsia="en-AU"/>
                    </w:rPr>
                    <w:br/>
                  </w:r>
                  <w:r w:rsidRPr="00170842">
                    <w:rPr>
                      <w:rFonts w:ascii="Arial" w:eastAsia="Times New Roman" w:hAnsi="Arial" w:cs="Arial"/>
                      <w:color w:val="3F3F38"/>
                      <w:sz w:val="21"/>
                      <w:szCs w:val="21"/>
                      <w:lang w:eastAsia="en-AU"/>
                    </w:rPr>
                    <w:t>We are delighted to send you our final newsletter for 2014, which covers various topics and recent developments in the law.</w:t>
                  </w:r>
                  <w:r w:rsidRPr="00170842">
                    <w:rPr>
                      <w:rFonts w:ascii="Arial" w:eastAsia="Times New Roman" w:hAnsi="Arial" w:cs="Arial"/>
                      <w:color w:val="3F3F38"/>
                      <w:sz w:val="21"/>
                      <w:szCs w:val="21"/>
                      <w:lang w:eastAsia="en-AU"/>
                    </w:rPr>
                    <w:br/>
                  </w:r>
                  <w:r w:rsidRPr="00170842">
                    <w:rPr>
                      <w:rFonts w:ascii="Arial" w:eastAsia="Times New Roman" w:hAnsi="Arial" w:cs="Arial"/>
                      <w:color w:val="3F3F38"/>
                      <w:sz w:val="21"/>
                      <w:szCs w:val="21"/>
                      <w:lang w:eastAsia="en-AU"/>
                    </w:rPr>
                    <w:br/>
                    <w:t>We hope you will find this of interest and we wish you all a Merry Christmas and a Happy 2015!</w:t>
                  </w:r>
                </w:p>
              </w:tc>
            </w:tr>
          </w:tbl>
          <w:p w:rsidR="00170842" w:rsidRPr="00170842" w:rsidRDefault="00170842" w:rsidP="00170842">
            <w:pPr>
              <w:spacing w:after="0" w:line="240" w:lineRule="auto"/>
              <w:rPr>
                <w:rFonts w:ascii="Times New Roman" w:eastAsia="Times New Roman" w:hAnsi="Times New Roman" w:cs="Times New Roman"/>
                <w:color w:val="000000"/>
                <w:sz w:val="27"/>
                <w:szCs w:val="27"/>
                <w:lang w:eastAsia="en-AU"/>
              </w:rPr>
            </w:pPr>
          </w:p>
        </w:tc>
      </w:tr>
    </w:tbl>
    <w:p w:rsidR="00170842" w:rsidRPr="00170842" w:rsidRDefault="00170842" w:rsidP="00170842">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26"/>
      </w:tblGrid>
      <w:tr w:rsidR="00170842" w:rsidRPr="00170842" w:rsidTr="00170842">
        <w:tc>
          <w:tcPr>
            <w:tcW w:w="0" w:type="auto"/>
            <w:hideMark/>
          </w:tcPr>
          <w:tbl>
            <w:tblPr>
              <w:tblpPr w:leftFromText="45" w:rightFromText="45" w:vertAnchor="text"/>
              <w:tblW w:w="8400" w:type="dxa"/>
              <w:tblCellMar>
                <w:left w:w="0" w:type="dxa"/>
                <w:right w:w="0" w:type="dxa"/>
              </w:tblCellMar>
              <w:tblLook w:val="04A0" w:firstRow="1" w:lastRow="0" w:firstColumn="1" w:lastColumn="0" w:noHBand="0" w:noVBand="1"/>
            </w:tblPr>
            <w:tblGrid>
              <w:gridCol w:w="8400"/>
            </w:tblGrid>
            <w:tr w:rsidR="00170842" w:rsidRPr="00170842">
              <w:tc>
                <w:tcPr>
                  <w:tcW w:w="0" w:type="auto"/>
                  <w:tcMar>
                    <w:top w:w="135" w:type="dxa"/>
                    <w:left w:w="270" w:type="dxa"/>
                    <w:bottom w:w="135" w:type="dxa"/>
                    <w:right w:w="270" w:type="dxa"/>
                  </w:tcMar>
                  <w:hideMark/>
                </w:tcPr>
                <w:p w:rsidR="00170842" w:rsidRPr="00170842" w:rsidRDefault="00170842" w:rsidP="00170842">
                  <w:pPr>
                    <w:spacing w:after="0" w:line="312" w:lineRule="atLeast"/>
                    <w:jc w:val="center"/>
                    <w:outlineLvl w:val="2"/>
                    <w:rPr>
                      <w:rFonts w:ascii="Georgia" w:eastAsia="Times New Roman" w:hAnsi="Georgia" w:cs="Times New Roman"/>
                      <w:color w:val="3F3F38"/>
                      <w:spacing w:val="30"/>
                      <w:sz w:val="27"/>
                      <w:szCs w:val="27"/>
                      <w:lang w:eastAsia="en-AU"/>
                    </w:rPr>
                  </w:pPr>
                  <w:r w:rsidRPr="00170842">
                    <w:rPr>
                      <w:rFonts w:ascii="Georgia" w:eastAsia="Times New Roman" w:hAnsi="Georgia" w:cs="Times New Roman"/>
                      <w:color w:val="3F3F38"/>
                      <w:spacing w:val="30"/>
                      <w:sz w:val="27"/>
                      <w:szCs w:val="27"/>
                      <w:lang w:eastAsia="en-AU"/>
                    </w:rPr>
                    <w:br/>
                  </w:r>
                  <w:r w:rsidRPr="00170842">
                    <w:rPr>
                      <w:rFonts w:ascii="Georgia" w:eastAsia="Times New Roman" w:hAnsi="Georgia" w:cs="Times New Roman"/>
                      <w:b/>
                      <w:bCs/>
                      <w:color w:val="3F3F38"/>
                      <w:spacing w:val="30"/>
                      <w:sz w:val="27"/>
                      <w:szCs w:val="27"/>
                      <w:lang w:eastAsia="en-AU"/>
                    </w:rPr>
                    <w:t>FIRM UPDATES!</w:t>
                  </w:r>
                </w:p>
                <w:p w:rsidR="00170842" w:rsidRPr="00170842" w:rsidRDefault="00170842" w:rsidP="00170842">
                  <w:pPr>
                    <w:spacing w:after="0" w:line="315" w:lineRule="atLeast"/>
                    <w:jc w:val="center"/>
                    <w:rPr>
                      <w:rFonts w:ascii="Georgia" w:eastAsia="Times New Roman" w:hAnsi="Georgia" w:cs="Times New Roman"/>
                      <w:color w:val="3F3F38"/>
                      <w:sz w:val="21"/>
                      <w:szCs w:val="21"/>
                      <w:lang w:eastAsia="en-AU"/>
                    </w:rPr>
                  </w:pPr>
                  <w:r w:rsidRPr="00170842">
                    <w:rPr>
                      <w:rFonts w:ascii="Georgia" w:eastAsia="Times New Roman" w:hAnsi="Georgia" w:cs="Times New Roman"/>
                      <w:color w:val="3F3F38"/>
                      <w:sz w:val="21"/>
                      <w:szCs w:val="21"/>
                      <w:lang w:eastAsia="en-AU"/>
                    </w:rPr>
                    <w:t> </w:t>
                  </w:r>
                </w:p>
                <w:p w:rsidR="00170842" w:rsidRPr="00170842" w:rsidRDefault="00170842" w:rsidP="00170842">
                  <w:pPr>
                    <w:spacing w:after="0" w:line="315" w:lineRule="atLeast"/>
                    <w:rPr>
                      <w:rFonts w:ascii="Georgia" w:eastAsia="Times New Roman" w:hAnsi="Georgia" w:cs="Times New Roman"/>
                      <w:color w:val="3F3F38"/>
                      <w:sz w:val="21"/>
                      <w:szCs w:val="21"/>
                      <w:lang w:eastAsia="en-AU"/>
                    </w:rPr>
                  </w:pPr>
                  <w:r w:rsidRPr="00170842">
                    <w:rPr>
                      <w:rFonts w:ascii="Arial" w:eastAsia="Times New Roman" w:hAnsi="Arial" w:cs="Arial"/>
                      <w:b/>
                      <w:bCs/>
                      <w:color w:val="B22222"/>
                      <w:sz w:val="21"/>
                      <w:szCs w:val="21"/>
                      <w:lang w:eastAsia="en-AU"/>
                    </w:rPr>
                    <w:t>Christmas and New Year Closing Times</w:t>
                  </w:r>
                  <w:r w:rsidRPr="00170842">
                    <w:rPr>
                      <w:rFonts w:ascii="Georgia" w:eastAsia="Times New Roman" w:hAnsi="Georgia" w:cs="Times New Roman"/>
                      <w:color w:val="3F3F38"/>
                      <w:sz w:val="21"/>
                      <w:szCs w:val="21"/>
                      <w:lang w:eastAsia="en-AU"/>
                    </w:rPr>
                    <w:br/>
                  </w:r>
                  <w:r w:rsidRPr="00170842">
                    <w:rPr>
                      <w:rFonts w:ascii="Georgia" w:eastAsia="Times New Roman" w:hAnsi="Georgia" w:cs="Times New Roman"/>
                      <w:color w:val="3F3F38"/>
                      <w:sz w:val="21"/>
                      <w:szCs w:val="21"/>
                      <w:lang w:eastAsia="en-AU"/>
                    </w:rPr>
                    <w:br/>
                  </w:r>
                  <w:r w:rsidRPr="00170842">
                    <w:rPr>
                      <w:rFonts w:ascii="Arial" w:eastAsia="Times New Roman" w:hAnsi="Arial" w:cs="Arial"/>
                      <w:color w:val="3F3F38"/>
                      <w:sz w:val="21"/>
                      <w:szCs w:val="21"/>
                      <w:lang w:eastAsia="en-AU"/>
                    </w:rPr>
                    <w:t>We are closed over the Christmas and New Year period from Christmas Eve on Wednesday, 24 December 2014 to Monday, 5 January 2015.</w:t>
                  </w:r>
                  <w:r w:rsidRPr="00170842">
                    <w:rPr>
                      <w:rFonts w:ascii="Georgia" w:eastAsia="Times New Roman" w:hAnsi="Georgia" w:cs="Times New Roman"/>
                      <w:color w:val="3F3F38"/>
                      <w:sz w:val="21"/>
                      <w:szCs w:val="21"/>
                      <w:lang w:eastAsia="en-AU"/>
                    </w:rPr>
                    <w:br/>
                  </w:r>
                  <w:r w:rsidRPr="00170842">
                    <w:rPr>
                      <w:rFonts w:ascii="Georgia" w:eastAsia="Times New Roman" w:hAnsi="Georgia" w:cs="Times New Roman"/>
                      <w:color w:val="3F3F38"/>
                      <w:sz w:val="21"/>
                      <w:szCs w:val="21"/>
                      <w:lang w:eastAsia="en-AU"/>
                    </w:rPr>
                    <w:br/>
                  </w:r>
                  <w:r w:rsidRPr="00170842">
                    <w:rPr>
                      <w:rFonts w:ascii="Arial" w:eastAsia="Times New Roman" w:hAnsi="Arial" w:cs="Arial"/>
                      <w:b/>
                      <w:bCs/>
                      <w:color w:val="B22222"/>
                      <w:sz w:val="21"/>
                      <w:szCs w:val="21"/>
                      <w:lang w:eastAsia="en-AU"/>
                    </w:rPr>
                    <w:t>New Additions in 2015</w:t>
                  </w:r>
                  <w:r w:rsidRPr="00170842">
                    <w:rPr>
                      <w:rFonts w:ascii="Georgia" w:eastAsia="Times New Roman" w:hAnsi="Georgia" w:cs="Times New Roman"/>
                      <w:color w:val="3F3F38"/>
                      <w:sz w:val="21"/>
                      <w:szCs w:val="21"/>
                      <w:lang w:eastAsia="en-AU"/>
                    </w:rPr>
                    <w:br/>
                  </w:r>
                  <w:r w:rsidRPr="00170842">
                    <w:rPr>
                      <w:rFonts w:ascii="Georgia" w:eastAsia="Times New Roman" w:hAnsi="Georgia" w:cs="Times New Roman"/>
                      <w:color w:val="3F3F38"/>
                      <w:sz w:val="21"/>
                      <w:szCs w:val="21"/>
                      <w:lang w:eastAsia="en-AU"/>
                    </w:rPr>
                    <w:br/>
                  </w:r>
                  <w:r w:rsidRPr="00170842">
                    <w:rPr>
                      <w:rFonts w:ascii="Arial" w:eastAsia="Times New Roman" w:hAnsi="Arial" w:cs="Arial"/>
                      <w:b/>
                      <w:bCs/>
                      <w:i/>
                      <w:iCs/>
                      <w:color w:val="3F3F38"/>
                      <w:sz w:val="21"/>
                      <w:szCs w:val="21"/>
                      <w:lang w:eastAsia="en-AU"/>
                    </w:rPr>
                    <w:t>Jacqui Minors</w:t>
                  </w:r>
                  <w:r w:rsidRPr="00170842">
                    <w:rPr>
                      <w:rFonts w:ascii="Arial" w:eastAsia="Times New Roman" w:hAnsi="Arial" w:cs="Arial"/>
                      <w:color w:val="3F3F38"/>
                      <w:sz w:val="21"/>
                      <w:szCs w:val="21"/>
                      <w:lang w:eastAsia="en-AU"/>
                    </w:rPr>
                    <w:br/>
                  </w:r>
                  <w:r w:rsidRPr="00170842">
                    <w:rPr>
                      <w:rFonts w:ascii="Arial" w:eastAsia="Times New Roman" w:hAnsi="Arial" w:cs="Arial"/>
                      <w:color w:val="3F3F38"/>
                      <w:sz w:val="21"/>
                      <w:szCs w:val="21"/>
                      <w:lang w:eastAsia="en-AU"/>
                    </w:rPr>
                    <w:br/>
                    <w:t>We are pleased to announce that Jacqui Minors will be joining our team in January 2015. Jacqui is a family law practitioner and family law mediator with over 7 years of experience as a solicitor working in the area of family law.</w:t>
                  </w:r>
                  <w:r w:rsidRPr="00170842">
                    <w:rPr>
                      <w:rFonts w:ascii="Arial" w:eastAsia="Times New Roman" w:hAnsi="Arial" w:cs="Arial"/>
                      <w:color w:val="3F3F38"/>
                      <w:sz w:val="21"/>
                      <w:szCs w:val="21"/>
                      <w:lang w:eastAsia="en-AU"/>
                    </w:rPr>
                    <w:br/>
                  </w:r>
                  <w:r w:rsidRPr="00170842">
                    <w:rPr>
                      <w:rFonts w:ascii="Arial" w:eastAsia="Times New Roman" w:hAnsi="Arial" w:cs="Arial"/>
                      <w:color w:val="3F3F38"/>
                      <w:sz w:val="21"/>
                      <w:szCs w:val="21"/>
                      <w:lang w:eastAsia="en-AU"/>
                    </w:rPr>
                    <w:br/>
                  </w:r>
                  <w:r w:rsidRPr="00170842">
                    <w:rPr>
                      <w:rFonts w:ascii="Arial" w:eastAsia="Times New Roman" w:hAnsi="Arial" w:cs="Arial"/>
                      <w:b/>
                      <w:bCs/>
                      <w:i/>
                      <w:iCs/>
                      <w:color w:val="3F3F38"/>
                      <w:sz w:val="21"/>
                      <w:szCs w:val="21"/>
                      <w:lang w:eastAsia="en-AU"/>
                    </w:rPr>
                    <w:t>Daniel Willcockson</w:t>
                  </w:r>
                  <w:r w:rsidRPr="00170842">
                    <w:rPr>
                      <w:rFonts w:ascii="Arial" w:eastAsia="Times New Roman" w:hAnsi="Arial" w:cs="Arial"/>
                      <w:color w:val="3F3F38"/>
                      <w:sz w:val="21"/>
                      <w:szCs w:val="21"/>
                      <w:lang w:eastAsia="en-AU"/>
                    </w:rPr>
                    <w:br/>
                  </w:r>
                  <w:r w:rsidRPr="00170842">
                    <w:rPr>
                      <w:rFonts w:ascii="Arial" w:eastAsia="Times New Roman" w:hAnsi="Arial" w:cs="Arial"/>
                      <w:color w:val="3F3F38"/>
                      <w:sz w:val="21"/>
                      <w:szCs w:val="21"/>
                      <w:lang w:eastAsia="en-AU"/>
                    </w:rPr>
                    <w:br/>
                    <w:t>Daniel Willcockson has recently completed his Practical Legal Training with us, and is due to be admitted as a solicitor to the Supreme Court of New South Wales on 20 February 2015.</w:t>
                  </w:r>
                  <w:r w:rsidRPr="00170842">
                    <w:rPr>
                      <w:rFonts w:ascii="Georgia" w:eastAsia="Times New Roman" w:hAnsi="Georgia" w:cs="Times New Roman"/>
                      <w:color w:val="3F3F38"/>
                      <w:sz w:val="21"/>
                      <w:szCs w:val="21"/>
                      <w:lang w:eastAsia="en-AU"/>
                    </w:rPr>
                    <w:br/>
                  </w:r>
                  <w:r w:rsidRPr="00170842">
                    <w:rPr>
                      <w:rFonts w:ascii="Georgia" w:eastAsia="Times New Roman" w:hAnsi="Georgia" w:cs="Times New Roman"/>
                      <w:color w:val="3F3F38"/>
                      <w:sz w:val="21"/>
                      <w:szCs w:val="21"/>
                      <w:lang w:eastAsia="en-AU"/>
                    </w:rPr>
                    <w:br/>
                  </w:r>
                  <w:r w:rsidRPr="00170842">
                    <w:rPr>
                      <w:rFonts w:ascii="Arial" w:eastAsia="Times New Roman" w:hAnsi="Arial" w:cs="Arial"/>
                      <w:color w:val="3F3F38"/>
                      <w:sz w:val="21"/>
                      <w:szCs w:val="21"/>
                      <w:lang w:eastAsia="en-AU"/>
                    </w:rPr>
                    <w:t>Daniel graduated from Sydney University in July 2014, and his areas of interest include family law, property law and commercial litigation. </w:t>
                  </w:r>
                  <w:r w:rsidRPr="00170842">
                    <w:rPr>
                      <w:rFonts w:ascii="Georgia" w:eastAsia="Times New Roman" w:hAnsi="Georgia" w:cs="Times New Roman"/>
                      <w:color w:val="3F3F38"/>
                      <w:sz w:val="21"/>
                      <w:szCs w:val="21"/>
                      <w:lang w:eastAsia="en-AU"/>
                    </w:rPr>
                    <w:br/>
                  </w:r>
                  <w:r w:rsidRPr="00170842">
                    <w:rPr>
                      <w:rFonts w:ascii="Georgia" w:eastAsia="Times New Roman" w:hAnsi="Georgia" w:cs="Times New Roman"/>
                      <w:color w:val="3F3F38"/>
                      <w:sz w:val="21"/>
                      <w:szCs w:val="21"/>
                      <w:lang w:eastAsia="en-AU"/>
                    </w:rPr>
                    <w:br/>
                  </w:r>
                  <w:r w:rsidRPr="00170842">
                    <w:rPr>
                      <w:rFonts w:ascii="Arial" w:eastAsia="Times New Roman" w:hAnsi="Arial" w:cs="Arial"/>
                      <w:b/>
                      <w:bCs/>
                      <w:color w:val="B22222"/>
                      <w:sz w:val="21"/>
                      <w:szCs w:val="21"/>
                      <w:lang w:eastAsia="en-AU"/>
                    </w:rPr>
                    <w:lastRenderedPageBreak/>
                    <w:t>New Advertisements on Radio</w:t>
                  </w:r>
                  <w:r w:rsidRPr="00170842">
                    <w:rPr>
                      <w:rFonts w:ascii="Georgia" w:eastAsia="Times New Roman" w:hAnsi="Georgia" w:cs="Times New Roman"/>
                      <w:color w:val="3F3F38"/>
                      <w:sz w:val="21"/>
                      <w:szCs w:val="21"/>
                      <w:lang w:eastAsia="en-AU"/>
                    </w:rPr>
                    <w:br/>
                  </w:r>
                  <w:r w:rsidRPr="00170842">
                    <w:rPr>
                      <w:rFonts w:ascii="Georgia" w:eastAsia="Times New Roman" w:hAnsi="Georgia" w:cs="Times New Roman"/>
                      <w:color w:val="3F3F38"/>
                      <w:sz w:val="21"/>
                      <w:szCs w:val="21"/>
                      <w:lang w:eastAsia="en-AU"/>
                    </w:rPr>
                    <w:br/>
                  </w:r>
                  <w:r w:rsidRPr="00170842">
                    <w:rPr>
                      <w:rFonts w:ascii="Helvetica" w:eastAsia="Times New Roman" w:hAnsi="Helvetica" w:cs="Helvetica"/>
                      <w:color w:val="3F3F38"/>
                      <w:sz w:val="21"/>
                      <w:szCs w:val="21"/>
                      <w:lang w:eastAsia="en-AU"/>
                    </w:rPr>
                    <w:t>We began radio advertising in March 2014 on Smooth FM 95.3. </w:t>
                  </w:r>
                  <w:r w:rsidRPr="00170842">
                    <w:rPr>
                      <w:rFonts w:ascii="Helvetica" w:eastAsia="Times New Roman" w:hAnsi="Helvetica" w:cs="Helvetica"/>
                      <w:color w:val="000000"/>
                      <w:sz w:val="21"/>
                      <w:szCs w:val="21"/>
                      <w:lang w:eastAsia="en-AU"/>
                    </w:rPr>
                    <w:br/>
                  </w:r>
                  <w:r w:rsidRPr="00170842">
                    <w:rPr>
                      <w:rFonts w:ascii="Helvetica" w:eastAsia="Times New Roman" w:hAnsi="Helvetica" w:cs="Helvetica"/>
                      <w:color w:val="000000"/>
                      <w:sz w:val="21"/>
                      <w:szCs w:val="21"/>
                      <w:lang w:eastAsia="en-AU"/>
                    </w:rPr>
                    <w:br/>
                  </w:r>
                  <w:r w:rsidRPr="00170842">
                    <w:rPr>
                      <w:rFonts w:ascii="Helvetica" w:eastAsia="Times New Roman" w:hAnsi="Helvetica" w:cs="Helvetica"/>
                      <w:color w:val="3F3F38"/>
                      <w:sz w:val="21"/>
                      <w:szCs w:val="21"/>
                      <w:lang w:eastAsia="en-AU"/>
                    </w:rPr>
                    <w:t>We hope you find our adverts interesting and informative and we welcome your thoughts in relation thereto. Click </w:t>
                  </w:r>
                  <w:hyperlink r:id="rId7" w:tgtFrame="_blank" w:history="1">
                    <w:r w:rsidRPr="00170842">
                      <w:rPr>
                        <w:rFonts w:ascii="Helvetica" w:eastAsia="Times New Roman" w:hAnsi="Helvetica" w:cs="Helvetica"/>
                        <w:color w:val="C90000"/>
                        <w:sz w:val="21"/>
                        <w:szCs w:val="21"/>
                        <w:u w:val="single"/>
                        <w:lang w:eastAsia="en-AU"/>
                      </w:rPr>
                      <w:t>here</w:t>
                    </w:r>
                  </w:hyperlink>
                  <w:r w:rsidRPr="00170842">
                    <w:rPr>
                      <w:rFonts w:ascii="Helvetica" w:eastAsia="Times New Roman" w:hAnsi="Helvetica" w:cs="Helvetica"/>
                      <w:color w:val="3F3F38"/>
                      <w:sz w:val="21"/>
                      <w:szCs w:val="21"/>
                      <w:lang w:eastAsia="en-AU"/>
                    </w:rPr>
                    <w:t> for a preview.</w:t>
                  </w:r>
                  <w:r w:rsidRPr="00170842">
                    <w:rPr>
                      <w:rFonts w:ascii="Georgia" w:eastAsia="Times New Roman" w:hAnsi="Georgia" w:cs="Times New Roman"/>
                      <w:color w:val="3F3F38"/>
                      <w:sz w:val="21"/>
                      <w:szCs w:val="21"/>
                      <w:lang w:eastAsia="en-AU"/>
                    </w:rPr>
                    <w:br/>
                  </w:r>
                  <w:r w:rsidRPr="00170842">
                    <w:rPr>
                      <w:rFonts w:ascii="Georgia" w:eastAsia="Times New Roman" w:hAnsi="Georgia" w:cs="Times New Roman"/>
                      <w:color w:val="3F3F38"/>
                      <w:sz w:val="21"/>
                      <w:szCs w:val="21"/>
                      <w:lang w:eastAsia="en-AU"/>
                    </w:rPr>
                    <w:br/>
                  </w:r>
                  <w:r w:rsidRPr="00170842">
                    <w:rPr>
                      <w:rFonts w:ascii="Arial" w:eastAsia="Times New Roman" w:hAnsi="Arial" w:cs="Arial"/>
                      <w:b/>
                      <w:bCs/>
                      <w:color w:val="B22222"/>
                      <w:sz w:val="21"/>
                      <w:szCs w:val="21"/>
                      <w:lang w:eastAsia="en-AU"/>
                    </w:rPr>
                    <w:t>Renovations in late 2014</w:t>
                  </w:r>
                  <w:r w:rsidRPr="00170842">
                    <w:rPr>
                      <w:rFonts w:ascii="Georgia" w:eastAsia="Times New Roman" w:hAnsi="Georgia" w:cs="Times New Roman"/>
                      <w:color w:val="3F3F38"/>
                      <w:sz w:val="21"/>
                      <w:szCs w:val="21"/>
                      <w:lang w:eastAsia="en-AU"/>
                    </w:rPr>
                    <w:br/>
                  </w:r>
                  <w:r w:rsidRPr="00170842">
                    <w:rPr>
                      <w:rFonts w:ascii="Georgia" w:eastAsia="Times New Roman" w:hAnsi="Georgia" w:cs="Times New Roman"/>
                      <w:color w:val="3F3F38"/>
                      <w:sz w:val="21"/>
                      <w:szCs w:val="21"/>
                      <w:lang w:eastAsia="en-AU"/>
                    </w:rPr>
                    <w:br/>
                  </w:r>
                  <w:r w:rsidRPr="00170842">
                    <w:rPr>
                      <w:rFonts w:ascii="Arial" w:eastAsia="Times New Roman" w:hAnsi="Arial" w:cs="Arial"/>
                      <w:color w:val="3F3F38"/>
                      <w:sz w:val="21"/>
                      <w:szCs w:val="21"/>
                      <w:lang w:eastAsia="en-AU"/>
                    </w:rPr>
                    <w:t>We are undertaking renovations to the rear administration area of our office and to our mezzanine storage level in late December 2014. We will be adding extra workstations to the rear administration area and the mezzanine level is to be extended for extra storage space. </w:t>
                  </w:r>
                  <w:r w:rsidRPr="00170842">
                    <w:rPr>
                      <w:rFonts w:ascii="Georgia" w:eastAsia="Times New Roman" w:hAnsi="Georgia" w:cs="Times New Roman"/>
                      <w:color w:val="3F3F38"/>
                      <w:sz w:val="21"/>
                      <w:szCs w:val="21"/>
                      <w:lang w:eastAsia="en-AU"/>
                    </w:rPr>
                    <w:br/>
                    <w:t> </w:t>
                  </w:r>
                </w:p>
              </w:tc>
            </w:tr>
          </w:tbl>
          <w:p w:rsidR="00170842" w:rsidRPr="00170842" w:rsidRDefault="00170842" w:rsidP="00170842">
            <w:pPr>
              <w:spacing w:after="0" w:line="240" w:lineRule="auto"/>
              <w:rPr>
                <w:rFonts w:ascii="Times New Roman" w:eastAsia="Times New Roman" w:hAnsi="Times New Roman" w:cs="Times New Roman"/>
                <w:color w:val="000000"/>
                <w:sz w:val="27"/>
                <w:szCs w:val="27"/>
                <w:lang w:eastAsia="en-AU"/>
              </w:rPr>
            </w:pPr>
          </w:p>
        </w:tc>
      </w:tr>
    </w:tbl>
    <w:p w:rsidR="00170842" w:rsidRPr="00170842" w:rsidRDefault="00170842" w:rsidP="00170842">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26"/>
      </w:tblGrid>
      <w:tr w:rsidR="00170842" w:rsidRPr="00170842" w:rsidTr="00170842">
        <w:tc>
          <w:tcPr>
            <w:tcW w:w="0" w:type="auto"/>
            <w:hideMark/>
          </w:tcPr>
          <w:tbl>
            <w:tblPr>
              <w:tblpPr w:leftFromText="45" w:rightFromText="45" w:vertAnchor="text"/>
              <w:tblW w:w="8400" w:type="dxa"/>
              <w:tblCellMar>
                <w:left w:w="0" w:type="dxa"/>
                <w:right w:w="0" w:type="dxa"/>
              </w:tblCellMar>
              <w:tblLook w:val="04A0" w:firstRow="1" w:lastRow="0" w:firstColumn="1" w:lastColumn="0" w:noHBand="0" w:noVBand="1"/>
            </w:tblPr>
            <w:tblGrid>
              <w:gridCol w:w="8400"/>
            </w:tblGrid>
            <w:tr w:rsidR="00170842" w:rsidRPr="00170842">
              <w:tc>
                <w:tcPr>
                  <w:tcW w:w="0" w:type="auto"/>
                  <w:tcMar>
                    <w:top w:w="135" w:type="dxa"/>
                    <w:left w:w="270" w:type="dxa"/>
                    <w:bottom w:w="135" w:type="dxa"/>
                    <w:right w:w="270" w:type="dxa"/>
                  </w:tcMar>
                  <w:hideMark/>
                </w:tcPr>
                <w:p w:rsidR="00170842" w:rsidRPr="00170842" w:rsidRDefault="00170842" w:rsidP="00170842">
                  <w:pPr>
                    <w:spacing w:after="0" w:line="315" w:lineRule="atLeast"/>
                    <w:rPr>
                      <w:rFonts w:ascii="Georgia" w:eastAsia="Times New Roman" w:hAnsi="Georgia" w:cs="Times New Roman"/>
                      <w:color w:val="3F3F38"/>
                      <w:sz w:val="21"/>
                      <w:szCs w:val="21"/>
                      <w:lang w:eastAsia="en-AU"/>
                    </w:rPr>
                  </w:pPr>
                  <w:r w:rsidRPr="00170842">
                    <w:rPr>
                      <w:rFonts w:ascii="Arial" w:eastAsia="Times New Roman" w:hAnsi="Arial" w:cs="Arial"/>
                      <w:b/>
                      <w:bCs/>
                      <w:color w:val="B22222"/>
                      <w:sz w:val="39"/>
                      <w:szCs w:val="39"/>
                      <w:lang w:eastAsia="en-AU"/>
                    </w:rPr>
                    <w:t>Have you thought about updating your Will?</w:t>
                  </w:r>
                  <w:r w:rsidRPr="00170842">
                    <w:rPr>
                      <w:rFonts w:ascii="Georgia" w:eastAsia="Times New Roman" w:hAnsi="Georgia" w:cs="Times New Roman"/>
                      <w:color w:val="3F3F38"/>
                      <w:sz w:val="21"/>
                      <w:szCs w:val="21"/>
                      <w:lang w:eastAsia="en-AU"/>
                    </w:rPr>
                    <w:br/>
                    <w:t> </w:t>
                  </w:r>
                </w:p>
                <w:p w:rsidR="00170842" w:rsidRPr="00170842" w:rsidRDefault="00170842" w:rsidP="00170842">
                  <w:pPr>
                    <w:spacing w:after="0" w:line="315" w:lineRule="atLeast"/>
                    <w:rPr>
                      <w:rFonts w:ascii="Georgia" w:eastAsia="Times New Roman" w:hAnsi="Georgia" w:cs="Times New Roman"/>
                      <w:color w:val="3F3F38"/>
                      <w:sz w:val="21"/>
                      <w:szCs w:val="21"/>
                      <w:lang w:eastAsia="en-AU"/>
                    </w:rPr>
                  </w:pPr>
                  <w:r w:rsidRPr="00170842">
                    <w:rPr>
                      <w:rFonts w:ascii="Arial" w:eastAsia="Times New Roman" w:hAnsi="Arial" w:cs="Arial"/>
                      <w:color w:val="3F3F38"/>
                      <w:sz w:val="21"/>
                      <w:szCs w:val="21"/>
                      <w:lang w:eastAsia="en-AU"/>
                    </w:rPr>
                    <w:t>We understand that the </w:t>
                  </w:r>
                  <w:proofErr w:type="spellStart"/>
                  <w:r w:rsidRPr="00170842">
                    <w:rPr>
                      <w:rFonts w:ascii="Arial" w:eastAsia="Times New Roman" w:hAnsi="Arial" w:cs="Arial"/>
                      <w:color w:val="3F3F38"/>
                      <w:sz w:val="21"/>
                      <w:szCs w:val="21"/>
                      <w:lang w:eastAsia="en-AU"/>
                    </w:rPr>
                    <w:t>the</w:t>
                  </w:r>
                  <w:proofErr w:type="spellEnd"/>
                  <w:r w:rsidRPr="00170842">
                    <w:rPr>
                      <w:rFonts w:ascii="Arial" w:eastAsia="Times New Roman" w:hAnsi="Arial" w:cs="Arial"/>
                      <w:color w:val="3F3F38"/>
                      <w:sz w:val="21"/>
                      <w:szCs w:val="21"/>
                      <w:lang w:eastAsia="en-AU"/>
                    </w:rPr>
                    <w:t xml:space="preserve"> Christmas and New Year period can get busy for most people and when extensive travel arrangements are made. You probably haven't had a chance to consider things like making a Will or updating your current Will. </w:t>
                  </w:r>
                  <w:r w:rsidRPr="00170842">
                    <w:rPr>
                      <w:rFonts w:ascii="Arial" w:eastAsia="Times New Roman" w:hAnsi="Arial" w:cs="Arial"/>
                      <w:color w:val="3F3F38"/>
                      <w:sz w:val="21"/>
                      <w:szCs w:val="21"/>
                      <w:lang w:eastAsia="en-AU"/>
                    </w:rPr>
                    <w:br/>
                  </w:r>
                  <w:r w:rsidRPr="00170842">
                    <w:rPr>
                      <w:rFonts w:ascii="Arial" w:eastAsia="Times New Roman" w:hAnsi="Arial" w:cs="Arial"/>
                      <w:color w:val="3F3F38"/>
                      <w:sz w:val="21"/>
                      <w:szCs w:val="21"/>
                      <w:lang w:eastAsia="en-AU"/>
                    </w:rPr>
                    <w:br/>
                    <w:t>It is usually a good idea to review your Will every two to three years to account for changes in your current circumstances.</w:t>
                  </w:r>
                  <w:r w:rsidRPr="00170842">
                    <w:rPr>
                      <w:rFonts w:ascii="Arial" w:eastAsia="Times New Roman" w:hAnsi="Arial" w:cs="Arial"/>
                      <w:color w:val="3F3F38"/>
                      <w:sz w:val="21"/>
                      <w:szCs w:val="21"/>
                      <w:lang w:eastAsia="en-AU"/>
                    </w:rPr>
                    <w:br/>
                  </w:r>
                  <w:r w:rsidRPr="00170842">
                    <w:rPr>
                      <w:rFonts w:ascii="Arial" w:eastAsia="Times New Roman" w:hAnsi="Arial" w:cs="Arial"/>
                      <w:color w:val="3F3F38"/>
                      <w:sz w:val="21"/>
                      <w:szCs w:val="21"/>
                      <w:lang w:eastAsia="en-AU"/>
                    </w:rPr>
                    <w:br/>
                    <w:t>If you are in need of updating your current Will or would like a Will drafted for you, please contact our office today to make an appointment. </w:t>
                  </w:r>
                  <w:r w:rsidRPr="00170842">
                    <w:rPr>
                      <w:rFonts w:ascii="Georgia" w:eastAsia="Times New Roman" w:hAnsi="Georgia" w:cs="Times New Roman"/>
                      <w:color w:val="3F3F38"/>
                      <w:sz w:val="21"/>
                      <w:szCs w:val="21"/>
                      <w:lang w:eastAsia="en-AU"/>
                    </w:rPr>
                    <w:br/>
                    <w:t> </w:t>
                  </w:r>
                </w:p>
              </w:tc>
            </w:tr>
          </w:tbl>
          <w:p w:rsidR="00170842" w:rsidRPr="00170842" w:rsidRDefault="00170842" w:rsidP="00170842">
            <w:pPr>
              <w:spacing w:after="0" w:line="240" w:lineRule="auto"/>
              <w:rPr>
                <w:rFonts w:ascii="Times New Roman" w:eastAsia="Times New Roman" w:hAnsi="Times New Roman" w:cs="Times New Roman"/>
                <w:color w:val="000000"/>
                <w:sz w:val="27"/>
                <w:szCs w:val="27"/>
                <w:lang w:eastAsia="en-AU"/>
              </w:rPr>
            </w:pPr>
          </w:p>
        </w:tc>
      </w:tr>
    </w:tbl>
    <w:p w:rsidR="00170842" w:rsidRPr="00170842" w:rsidRDefault="00170842" w:rsidP="00170842">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26"/>
      </w:tblGrid>
      <w:tr w:rsidR="00170842" w:rsidRPr="00170842" w:rsidTr="00170842">
        <w:tc>
          <w:tcPr>
            <w:tcW w:w="0" w:type="auto"/>
            <w:hideMark/>
          </w:tcPr>
          <w:tbl>
            <w:tblPr>
              <w:tblpPr w:leftFromText="45" w:rightFromText="45" w:vertAnchor="text"/>
              <w:tblW w:w="8400" w:type="dxa"/>
              <w:tblCellMar>
                <w:left w:w="0" w:type="dxa"/>
                <w:right w:w="0" w:type="dxa"/>
              </w:tblCellMar>
              <w:tblLook w:val="04A0" w:firstRow="1" w:lastRow="0" w:firstColumn="1" w:lastColumn="0" w:noHBand="0" w:noVBand="1"/>
            </w:tblPr>
            <w:tblGrid>
              <w:gridCol w:w="8400"/>
            </w:tblGrid>
            <w:tr w:rsidR="00170842" w:rsidRPr="00170842">
              <w:tc>
                <w:tcPr>
                  <w:tcW w:w="0" w:type="auto"/>
                  <w:tcMar>
                    <w:top w:w="135" w:type="dxa"/>
                    <w:left w:w="270" w:type="dxa"/>
                    <w:bottom w:w="135" w:type="dxa"/>
                    <w:right w:w="270" w:type="dxa"/>
                  </w:tcMar>
                  <w:hideMark/>
                </w:tcPr>
                <w:p w:rsidR="00170842" w:rsidRPr="00170842" w:rsidRDefault="00170842" w:rsidP="00170842">
                  <w:pPr>
                    <w:spacing w:after="0" w:line="315" w:lineRule="atLeast"/>
                    <w:jc w:val="center"/>
                    <w:rPr>
                      <w:rFonts w:ascii="Georgia" w:eastAsia="Times New Roman" w:hAnsi="Georgia" w:cs="Times New Roman"/>
                      <w:color w:val="3F3F38"/>
                      <w:sz w:val="21"/>
                      <w:szCs w:val="21"/>
                      <w:lang w:eastAsia="en-AU"/>
                    </w:rPr>
                  </w:pPr>
                  <w:r w:rsidRPr="00170842">
                    <w:rPr>
                      <w:rFonts w:ascii="Arial" w:eastAsia="Times New Roman" w:hAnsi="Arial" w:cs="Arial"/>
                      <w:b/>
                      <w:bCs/>
                      <w:color w:val="B22222"/>
                      <w:sz w:val="36"/>
                      <w:szCs w:val="36"/>
                      <w:lang w:eastAsia="en-AU"/>
                    </w:rPr>
                    <w:t>Updates in the Law</w:t>
                  </w:r>
                </w:p>
              </w:tc>
            </w:tr>
          </w:tbl>
          <w:p w:rsidR="00170842" w:rsidRPr="00170842" w:rsidRDefault="00170842" w:rsidP="00170842">
            <w:pPr>
              <w:spacing w:after="0" w:line="240" w:lineRule="auto"/>
              <w:rPr>
                <w:rFonts w:ascii="Times New Roman" w:eastAsia="Times New Roman" w:hAnsi="Times New Roman" w:cs="Times New Roman"/>
                <w:color w:val="000000"/>
                <w:sz w:val="27"/>
                <w:szCs w:val="27"/>
                <w:lang w:eastAsia="en-AU"/>
              </w:rPr>
            </w:pPr>
          </w:p>
        </w:tc>
      </w:tr>
    </w:tbl>
    <w:p w:rsidR="00170842" w:rsidRPr="00170842" w:rsidRDefault="00170842" w:rsidP="00170842">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026"/>
      </w:tblGrid>
      <w:tr w:rsidR="00170842" w:rsidRPr="00170842" w:rsidTr="00170842">
        <w:tc>
          <w:tcPr>
            <w:tcW w:w="0" w:type="auto"/>
            <w:hideMark/>
          </w:tcPr>
          <w:tbl>
            <w:tblPr>
              <w:tblpPr w:leftFromText="45" w:rightFromText="45" w:vertAnchor="text"/>
              <w:tblW w:w="3930" w:type="dxa"/>
              <w:tblCellMar>
                <w:left w:w="0" w:type="dxa"/>
                <w:right w:w="0" w:type="dxa"/>
              </w:tblCellMar>
              <w:tblLook w:val="04A0" w:firstRow="1" w:lastRow="0" w:firstColumn="1" w:lastColumn="0" w:noHBand="0" w:noVBand="1"/>
            </w:tblPr>
            <w:tblGrid>
              <w:gridCol w:w="3930"/>
            </w:tblGrid>
            <w:tr w:rsidR="00170842" w:rsidRPr="00170842">
              <w:tc>
                <w:tcPr>
                  <w:tcW w:w="0" w:type="auto"/>
                  <w:tcMar>
                    <w:top w:w="135" w:type="dxa"/>
                    <w:left w:w="270" w:type="dxa"/>
                    <w:bottom w:w="135" w:type="dxa"/>
                    <w:right w:w="0" w:type="dxa"/>
                  </w:tcMar>
                  <w:hideMark/>
                </w:tcPr>
                <w:p w:rsidR="00170842" w:rsidRPr="00170842" w:rsidRDefault="00170842" w:rsidP="00170842">
                  <w:pPr>
                    <w:spacing w:after="0" w:line="315" w:lineRule="atLeast"/>
                    <w:rPr>
                      <w:rFonts w:ascii="Georgia" w:eastAsia="Times New Roman" w:hAnsi="Georgia" w:cs="Times New Roman"/>
                      <w:color w:val="3F3F38"/>
                      <w:sz w:val="21"/>
                      <w:szCs w:val="21"/>
                      <w:lang w:eastAsia="en-AU"/>
                    </w:rPr>
                  </w:pPr>
                  <w:r w:rsidRPr="00170842">
                    <w:rPr>
                      <w:rFonts w:ascii="Georgia" w:eastAsia="Times New Roman" w:hAnsi="Georgia" w:cs="Times New Roman"/>
                      <w:color w:val="3F3F38"/>
                      <w:sz w:val="21"/>
                      <w:szCs w:val="21"/>
                      <w:lang w:eastAsia="en-AU"/>
                    </w:rPr>
                    <w:br/>
                  </w:r>
                  <w:r w:rsidRPr="00170842">
                    <w:rPr>
                      <w:rFonts w:ascii="Arial" w:eastAsia="Times New Roman" w:hAnsi="Arial" w:cs="Arial"/>
                      <w:b/>
                      <w:bCs/>
                      <w:color w:val="B22222"/>
                      <w:sz w:val="21"/>
                      <w:szCs w:val="21"/>
                      <w:lang w:eastAsia="en-AU"/>
                    </w:rPr>
                    <w:t>THE HOME BUILDING REGULATION 2014 AND THE HOME BUILDING AMENDMENT ACT 2014</w:t>
                  </w:r>
                  <w:r w:rsidRPr="00170842">
                    <w:rPr>
                      <w:rFonts w:ascii="Georgia" w:eastAsia="Times New Roman" w:hAnsi="Georgia" w:cs="Times New Roman"/>
                      <w:color w:val="3F3F38"/>
                      <w:sz w:val="21"/>
                      <w:szCs w:val="21"/>
                      <w:lang w:eastAsia="en-AU"/>
                    </w:rPr>
                    <w:br/>
                  </w:r>
                  <w:r w:rsidRPr="00170842">
                    <w:rPr>
                      <w:rFonts w:ascii="Georgia" w:eastAsia="Times New Roman" w:hAnsi="Georgia" w:cs="Times New Roman"/>
                      <w:color w:val="3F3F38"/>
                      <w:sz w:val="21"/>
                      <w:szCs w:val="21"/>
                      <w:lang w:eastAsia="en-AU"/>
                    </w:rPr>
                    <w:br/>
                  </w:r>
                  <w:r w:rsidRPr="00170842">
                    <w:rPr>
                      <w:rFonts w:ascii="Arial" w:eastAsia="Times New Roman" w:hAnsi="Arial" w:cs="Arial"/>
                      <w:color w:val="3F3F38"/>
                      <w:sz w:val="21"/>
                      <w:szCs w:val="21"/>
                      <w:lang w:eastAsia="en-AU"/>
                    </w:rPr>
                    <w:t>The NSW government is reforming building defect warranty laws. The draft </w:t>
                  </w:r>
                  <w:r w:rsidRPr="00170842">
                    <w:rPr>
                      <w:rFonts w:ascii="Arial" w:eastAsia="Times New Roman" w:hAnsi="Arial" w:cs="Arial"/>
                      <w:i/>
                      <w:iCs/>
                      <w:color w:val="3F3F38"/>
                      <w:sz w:val="21"/>
                      <w:szCs w:val="21"/>
                      <w:lang w:eastAsia="en-AU"/>
                    </w:rPr>
                    <w:t>Home Building Regulation 2014 </w:t>
                  </w:r>
                  <w:r w:rsidRPr="00170842">
                    <w:rPr>
                      <w:rFonts w:ascii="Arial" w:eastAsia="Times New Roman" w:hAnsi="Arial" w:cs="Arial"/>
                      <w:color w:val="3F3F38"/>
                      <w:sz w:val="21"/>
                      <w:szCs w:val="21"/>
                      <w:lang w:eastAsia="en-AU"/>
                    </w:rPr>
                    <w:t>and the </w:t>
                  </w:r>
                  <w:r w:rsidRPr="00170842">
                    <w:rPr>
                      <w:rFonts w:ascii="Arial" w:eastAsia="Times New Roman" w:hAnsi="Arial" w:cs="Arial"/>
                      <w:i/>
                      <w:iCs/>
                      <w:color w:val="3F3F38"/>
                      <w:sz w:val="21"/>
                      <w:szCs w:val="21"/>
                      <w:lang w:eastAsia="en-AU"/>
                    </w:rPr>
                    <w:t xml:space="preserve">Home Building </w:t>
                  </w:r>
                  <w:r w:rsidRPr="00170842">
                    <w:rPr>
                      <w:rFonts w:ascii="Arial" w:eastAsia="Times New Roman" w:hAnsi="Arial" w:cs="Arial"/>
                      <w:i/>
                      <w:iCs/>
                      <w:color w:val="3F3F38"/>
                      <w:sz w:val="21"/>
                      <w:szCs w:val="21"/>
                      <w:lang w:eastAsia="en-AU"/>
                    </w:rPr>
                    <w:lastRenderedPageBreak/>
                    <w:t>Amendment Act 2014 </w:t>
                  </w:r>
                  <w:r w:rsidRPr="00170842">
                    <w:rPr>
                      <w:rFonts w:ascii="Arial" w:eastAsia="Times New Roman" w:hAnsi="Arial" w:cs="Arial"/>
                      <w:color w:val="3F3F38"/>
                      <w:sz w:val="21"/>
                      <w:szCs w:val="21"/>
                      <w:lang w:eastAsia="en-AU"/>
                    </w:rPr>
                    <w:t>have been released with an expected commencement date of 1 December 2014.</w:t>
                  </w:r>
                  <w:r w:rsidRPr="00170842">
                    <w:rPr>
                      <w:rFonts w:ascii="Arial" w:eastAsia="Times New Roman" w:hAnsi="Arial" w:cs="Arial"/>
                      <w:color w:val="3F3F38"/>
                      <w:sz w:val="21"/>
                      <w:szCs w:val="21"/>
                      <w:lang w:eastAsia="en-AU"/>
                    </w:rPr>
                    <w:br/>
                  </w:r>
                  <w:r w:rsidRPr="00170842">
                    <w:rPr>
                      <w:rFonts w:ascii="Arial" w:eastAsia="Times New Roman" w:hAnsi="Arial" w:cs="Arial"/>
                      <w:color w:val="3F3F38"/>
                      <w:sz w:val="21"/>
                      <w:szCs w:val="21"/>
                      <w:lang w:eastAsia="en-AU"/>
                    </w:rPr>
                    <w:br/>
                    <w:t>Home warranty insurance provides a limited safety net for homeowners undertaking, or buying into residential building projects where the contract price exceeds $20,000 and a builder is unable or unwilling to honour their responsibilities under the building contract, that is, to complete the construction of a dwelling or return and rectify defective work.</w:t>
                  </w:r>
                </w:p>
                <w:p w:rsidR="00170842" w:rsidRPr="00170842" w:rsidRDefault="00170842" w:rsidP="00170842">
                  <w:pPr>
                    <w:numPr>
                      <w:ilvl w:val="0"/>
                      <w:numId w:val="1"/>
                    </w:numPr>
                    <w:spacing w:before="100" w:beforeAutospacing="1" w:after="100" w:afterAutospacing="1" w:line="315" w:lineRule="atLeast"/>
                    <w:rPr>
                      <w:rFonts w:ascii="Georgia" w:eastAsia="Times New Roman" w:hAnsi="Georgia" w:cs="Times New Roman"/>
                      <w:color w:val="3F3F38"/>
                      <w:sz w:val="21"/>
                      <w:szCs w:val="21"/>
                      <w:lang w:eastAsia="en-AU"/>
                    </w:rPr>
                  </w:pPr>
                  <w:r w:rsidRPr="00170842">
                    <w:rPr>
                      <w:rFonts w:ascii="Arial" w:eastAsia="Times New Roman" w:hAnsi="Arial" w:cs="Arial"/>
                      <w:color w:val="3F3F38"/>
                      <w:sz w:val="21"/>
                      <w:szCs w:val="21"/>
                      <w:lang w:eastAsia="en-AU"/>
                    </w:rPr>
                    <w:t xml:space="preserve">The main changes in the new legislation are as </w:t>
                  </w:r>
                  <w:proofErr w:type="spellStart"/>
                  <w:r w:rsidRPr="00170842">
                    <w:rPr>
                      <w:rFonts w:ascii="Arial" w:eastAsia="Times New Roman" w:hAnsi="Arial" w:cs="Arial"/>
                      <w:color w:val="3F3F38"/>
                      <w:sz w:val="21"/>
                      <w:szCs w:val="21"/>
                      <w:lang w:eastAsia="en-AU"/>
                    </w:rPr>
                    <w:t>follows</w:t>
                  </w:r>
                  <w:proofErr w:type="gramStart"/>
                  <w:r w:rsidRPr="00170842">
                    <w:rPr>
                      <w:rFonts w:ascii="Arial" w:eastAsia="Times New Roman" w:hAnsi="Arial" w:cs="Arial"/>
                      <w:color w:val="3F3F38"/>
                      <w:sz w:val="21"/>
                      <w:szCs w:val="21"/>
                      <w:lang w:eastAsia="en-AU"/>
                    </w:rPr>
                    <w:t>:The</w:t>
                  </w:r>
                  <w:proofErr w:type="spellEnd"/>
                  <w:proofErr w:type="gramEnd"/>
                  <w:r w:rsidRPr="00170842">
                    <w:rPr>
                      <w:rFonts w:ascii="Arial" w:eastAsia="Times New Roman" w:hAnsi="Arial" w:cs="Arial"/>
                      <w:color w:val="3F3F38"/>
                      <w:sz w:val="21"/>
                      <w:szCs w:val="21"/>
                      <w:lang w:eastAsia="en-AU"/>
                    </w:rPr>
                    <w:t xml:space="preserve"> start date for the warranty is changing from the date of completion of the works, to the date that an occupation certificate is issued in relation to new strata buildings.</w:t>
                  </w:r>
                </w:p>
                <w:p w:rsidR="00170842" w:rsidRPr="00170842" w:rsidRDefault="00170842" w:rsidP="00170842">
                  <w:pPr>
                    <w:numPr>
                      <w:ilvl w:val="0"/>
                      <w:numId w:val="1"/>
                    </w:numPr>
                    <w:spacing w:before="100" w:beforeAutospacing="1" w:after="100" w:afterAutospacing="1" w:line="315" w:lineRule="atLeast"/>
                    <w:rPr>
                      <w:rFonts w:ascii="Georgia" w:eastAsia="Times New Roman" w:hAnsi="Georgia" w:cs="Times New Roman"/>
                      <w:color w:val="3F3F38"/>
                      <w:sz w:val="21"/>
                      <w:szCs w:val="21"/>
                      <w:lang w:eastAsia="en-AU"/>
                    </w:rPr>
                  </w:pPr>
                  <w:r w:rsidRPr="00170842">
                    <w:rPr>
                      <w:rFonts w:ascii="Arial" w:eastAsia="Times New Roman" w:hAnsi="Arial" w:cs="Arial"/>
                      <w:color w:val="3F3F38"/>
                      <w:sz w:val="21"/>
                      <w:szCs w:val="21"/>
                      <w:lang w:eastAsia="en-AU"/>
                    </w:rPr>
                    <w:t>There will be a 2 year timeframe in which homeowners are to make themselves aware of all defects and to commence tribunal or court proceedings and notify the home warranty insurer. The current timeframe of 6      </w:t>
                  </w:r>
                </w:p>
                <w:p w:rsidR="00170842" w:rsidRPr="00170842" w:rsidRDefault="00170842" w:rsidP="00170842">
                  <w:pPr>
                    <w:spacing w:after="0" w:line="315" w:lineRule="atLeast"/>
                    <w:rPr>
                      <w:rFonts w:ascii="Georgia" w:eastAsia="Times New Roman" w:hAnsi="Georgia" w:cs="Times New Roman"/>
                      <w:color w:val="3F3F38"/>
                      <w:sz w:val="21"/>
                      <w:szCs w:val="21"/>
                      <w:lang w:eastAsia="en-AU"/>
                    </w:rPr>
                  </w:pPr>
                  <w:r w:rsidRPr="00170842">
                    <w:rPr>
                      <w:rFonts w:ascii="Arial" w:eastAsia="Times New Roman" w:hAnsi="Arial" w:cs="Arial"/>
                      <w:color w:val="3F3F38"/>
                      <w:sz w:val="21"/>
                      <w:szCs w:val="21"/>
                      <w:lang w:eastAsia="en-AU"/>
                    </w:rPr>
                    <w:t xml:space="preserve">          </w:t>
                  </w:r>
                  <w:proofErr w:type="gramStart"/>
                  <w:r w:rsidRPr="00170842">
                    <w:rPr>
                      <w:rFonts w:ascii="Arial" w:eastAsia="Times New Roman" w:hAnsi="Arial" w:cs="Arial"/>
                      <w:color w:val="3F3F38"/>
                      <w:sz w:val="21"/>
                      <w:szCs w:val="21"/>
                      <w:lang w:eastAsia="en-AU"/>
                    </w:rPr>
                    <w:t>years</w:t>
                  </w:r>
                  <w:proofErr w:type="gramEnd"/>
                  <w:r w:rsidRPr="00170842">
                    <w:rPr>
                      <w:rFonts w:ascii="Arial" w:eastAsia="Times New Roman" w:hAnsi="Arial" w:cs="Arial"/>
                      <w:color w:val="3F3F38"/>
                      <w:sz w:val="21"/>
                      <w:szCs w:val="21"/>
                      <w:lang w:eastAsia="en-AU"/>
                    </w:rPr>
                    <w:t xml:space="preserve"> is being abandoned, with</w:t>
                  </w:r>
                  <w:r w:rsidRPr="00170842">
                    <w:rPr>
                      <w:rFonts w:ascii="Arial" w:eastAsia="Times New Roman" w:hAnsi="Arial" w:cs="Arial"/>
                      <w:color w:val="3F3F38"/>
                      <w:sz w:val="21"/>
                      <w:szCs w:val="21"/>
                      <w:lang w:eastAsia="en-AU"/>
                    </w:rPr>
                    <w:br/>
                    <w:t>          the exception of those defects</w:t>
                  </w:r>
                  <w:r w:rsidRPr="00170842">
                    <w:rPr>
                      <w:rFonts w:ascii="Arial" w:eastAsia="Times New Roman" w:hAnsi="Arial" w:cs="Arial"/>
                      <w:color w:val="3F3F38"/>
                      <w:sz w:val="21"/>
                      <w:szCs w:val="21"/>
                      <w:lang w:eastAsia="en-AU"/>
                    </w:rPr>
                    <w:br/>
                    <w:t>          considered to be a ‘major</w:t>
                  </w:r>
                  <w:r w:rsidRPr="00170842">
                    <w:rPr>
                      <w:rFonts w:ascii="Arial" w:eastAsia="Times New Roman" w:hAnsi="Arial" w:cs="Arial"/>
                      <w:color w:val="3F3F38"/>
                      <w:sz w:val="21"/>
                      <w:szCs w:val="21"/>
                      <w:lang w:eastAsia="en-AU"/>
                    </w:rPr>
                    <w:br/>
                    <w:t>          defect’. A ‘major defect’ is</w:t>
                  </w:r>
                  <w:r w:rsidRPr="00170842">
                    <w:rPr>
                      <w:rFonts w:ascii="Arial" w:eastAsia="Times New Roman" w:hAnsi="Arial" w:cs="Arial"/>
                      <w:color w:val="3F3F38"/>
                      <w:sz w:val="21"/>
                      <w:szCs w:val="21"/>
                      <w:lang w:eastAsia="en-AU"/>
                    </w:rPr>
                    <w:br/>
                    <w:t>          defined as a defect so severe</w:t>
                  </w:r>
                  <w:r w:rsidRPr="00170842">
                    <w:rPr>
                      <w:rFonts w:ascii="Arial" w:eastAsia="Times New Roman" w:hAnsi="Arial" w:cs="Arial"/>
                      <w:color w:val="3F3F38"/>
                      <w:sz w:val="21"/>
                      <w:szCs w:val="21"/>
                      <w:lang w:eastAsia="en-AU"/>
                    </w:rPr>
                    <w:br/>
                    <w:t>          that it causes the building or</w:t>
                  </w:r>
                  <w:r w:rsidRPr="00170842">
                    <w:rPr>
                      <w:rFonts w:ascii="Arial" w:eastAsia="Times New Roman" w:hAnsi="Arial" w:cs="Arial"/>
                      <w:color w:val="3F3F38"/>
                      <w:sz w:val="21"/>
                      <w:szCs w:val="21"/>
                      <w:lang w:eastAsia="en-AU"/>
                    </w:rPr>
                    <w:br/>
                    <w:t>          part of the building to be</w:t>
                  </w:r>
                  <w:r w:rsidRPr="00170842">
                    <w:rPr>
                      <w:rFonts w:ascii="Arial" w:eastAsia="Times New Roman" w:hAnsi="Arial" w:cs="Arial"/>
                      <w:color w:val="3F3F38"/>
                      <w:sz w:val="21"/>
                      <w:szCs w:val="21"/>
                      <w:lang w:eastAsia="en-AU"/>
                    </w:rPr>
                    <w:br/>
                    <w:t>          destroyed, unusable, or at</w:t>
                  </w:r>
                  <w:r w:rsidRPr="00170842">
                    <w:rPr>
                      <w:rFonts w:ascii="Arial" w:eastAsia="Times New Roman" w:hAnsi="Arial" w:cs="Arial"/>
                      <w:color w:val="3F3F38"/>
                      <w:sz w:val="21"/>
                      <w:szCs w:val="21"/>
                      <w:lang w:eastAsia="en-AU"/>
                    </w:rPr>
                    <w:br/>
                    <w:t>          threat of collapse.</w:t>
                  </w:r>
                </w:p>
                <w:p w:rsidR="00170842" w:rsidRPr="00170842" w:rsidRDefault="00170842" w:rsidP="00170842">
                  <w:pPr>
                    <w:numPr>
                      <w:ilvl w:val="0"/>
                      <w:numId w:val="2"/>
                    </w:numPr>
                    <w:spacing w:before="100" w:beforeAutospacing="1" w:after="100" w:afterAutospacing="1" w:line="315" w:lineRule="atLeast"/>
                    <w:rPr>
                      <w:rFonts w:ascii="Georgia" w:eastAsia="Times New Roman" w:hAnsi="Georgia" w:cs="Times New Roman"/>
                      <w:color w:val="3F3F38"/>
                      <w:sz w:val="21"/>
                      <w:szCs w:val="21"/>
                      <w:lang w:eastAsia="en-AU"/>
                    </w:rPr>
                  </w:pPr>
                  <w:r w:rsidRPr="00170842">
                    <w:rPr>
                      <w:rFonts w:ascii="Arial" w:eastAsia="Times New Roman" w:hAnsi="Arial" w:cs="Arial"/>
                      <w:color w:val="3F3F38"/>
                      <w:sz w:val="21"/>
                      <w:szCs w:val="21"/>
                      <w:lang w:eastAsia="en-AU"/>
                    </w:rPr>
                    <w:lastRenderedPageBreak/>
                    <w:t>The Act is designed to be retrospective, in that once the Act commences, any home owner that becomes aware of the defects, irrespective of when those defects occurred, will be bound by the 2 year limitation period.</w:t>
                  </w:r>
                </w:p>
              </w:tc>
            </w:tr>
          </w:tbl>
          <w:tbl>
            <w:tblPr>
              <w:tblpPr w:leftFromText="45" w:rightFromText="45" w:vertAnchor="text" w:tblpXSpec="right" w:tblpYSpec="center"/>
              <w:tblW w:w="3930" w:type="dxa"/>
              <w:tblCellMar>
                <w:left w:w="0" w:type="dxa"/>
                <w:right w:w="0" w:type="dxa"/>
              </w:tblCellMar>
              <w:tblLook w:val="04A0" w:firstRow="1" w:lastRow="0" w:firstColumn="1" w:lastColumn="0" w:noHBand="0" w:noVBand="1"/>
            </w:tblPr>
            <w:tblGrid>
              <w:gridCol w:w="3930"/>
            </w:tblGrid>
            <w:tr w:rsidR="00170842" w:rsidRPr="00170842">
              <w:tc>
                <w:tcPr>
                  <w:tcW w:w="0" w:type="auto"/>
                  <w:tcMar>
                    <w:top w:w="135" w:type="dxa"/>
                    <w:left w:w="0" w:type="dxa"/>
                    <w:bottom w:w="135" w:type="dxa"/>
                    <w:right w:w="270" w:type="dxa"/>
                  </w:tcMar>
                  <w:hideMark/>
                </w:tcPr>
                <w:p w:rsidR="00170842" w:rsidRPr="00170842" w:rsidRDefault="00170842" w:rsidP="00170842">
                  <w:pPr>
                    <w:spacing w:after="0" w:line="315" w:lineRule="atLeast"/>
                    <w:rPr>
                      <w:rFonts w:ascii="Georgia" w:eastAsia="Times New Roman" w:hAnsi="Georgia" w:cs="Times New Roman"/>
                      <w:color w:val="3F3F38"/>
                      <w:sz w:val="21"/>
                      <w:szCs w:val="21"/>
                      <w:lang w:eastAsia="en-AU"/>
                    </w:rPr>
                  </w:pPr>
                  <w:r w:rsidRPr="00170842">
                    <w:rPr>
                      <w:rFonts w:ascii="Georgia" w:eastAsia="Times New Roman" w:hAnsi="Georgia" w:cs="Times New Roman"/>
                      <w:color w:val="3F3F38"/>
                      <w:sz w:val="21"/>
                      <w:szCs w:val="21"/>
                      <w:lang w:eastAsia="en-AU"/>
                    </w:rPr>
                    <w:lastRenderedPageBreak/>
                    <w:br/>
                  </w:r>
                  <w:r w:rsidRPr="00170842">
                    <w:rPr>
                      <w:rFonts w:ascii="Arial" w:eastAsia="Times New Roman" w:hAnsi="Arial" w:cs="Arial"/>
                      <w:b/>
                      <w:bCs/>
                      <w:color w:val="B22222"/>
                      <w:sz w:val="21"/>
                      <w:szCs w:val="21"/>
                      <w:lang w:eastAsia="en-AU"/>
                    </w:rPr>
                    <w:t>THE DIRECTOR PENALTY REGIME/PERSONAL LIABILITY OF COMPANY DIRECTORS AND THE CORPORATE VEIL</w:t>
                  </w:r>
                  <w:r w:rsidRPr="00170842">
                    <w:rPr>
                      <w:rFonts w:ascii="Georgia" w:eastAsia="Times New Roman" w:hAnsi="Georgia" w:cs="Times New Roman"/>
                      <w:color w:val="3F3F38"/>
                      <w:sz w:val="21"/>
                      <w:szCs w:val="21"/>
                      <w:lang w:eastAsia="en-AU"/>
                    </w:rPr>
                    <w:br/>
                  </w:r>
                  <w:r w:rsidRPr="00170842">
                    <w:rPr>
                      <w:rFonts w:ascii="Georgia" w:eastAsia="Times New Roman" w:hAnsi="Georgia" w:cs="Times New Roman"/>
                      <w:color w:val="3F3F38"/>
                      <w:sz w:val="21"/>
                      <w:szCs w:val="21"/>
                      <w:lang w:eastAsia="en-AU"/>
                    </w:rPr>
                    <w:br/>
                  </w:r>
                  <w:r w:rsidRPr="00170842">
                    <w:rPr>
                      <w:rFonts w:ascii="Arial" w:eastAsia="Times New Roman" w:hAnsi="Arial" w:cs="Arial"/>
                      <w:color w:val="3F3F38"/>
                      <w:sz w:val="21"/>
                      <w:szCs w:val="21"/>
                      <w:lang w:eastAsia="en-AU"/>
                    </w:rPr>
                    <w:t>The ATO is able to hold directors personally liable by issuing Director Penalty Notices (</w:t>
                  </w:r>
                  <w:r w:rsidRPr="00170842">
                    <w:rPr>
                      <w:rFonts w:ascii="Arial" w:eastAsia="Times New Roman" w:hAnsi="Arial" w:cs="Arial"/>
                      <w:i/>
                      <w:iCs/>
                      <w:color w:val="3F3F38"/>
                      <w:sz w:val="21"/>
                      <w:szCs w:val="21"/>
                      <w:lang w:eastAsia="en-AU"/>
                    </w:rPr>
                    <w:t>"DPN's"</w:t>
                  </w:r>
                  <w:r w:rsidRPr="00170842">
                    <w:rPr>
                      <w:rFonts w:ascii="Arial" w:eastAsia="Times New Roman" w:hAnsi="Arial" w:cs="Arial"/>
                      <w:color w:val="3F3F38"/>
                      <w:sz w:val="21"/>
                      <w:szCs w:val="21"/>
                      <w:lang w:eastAsia="en-AU"/>
                    </w:rPr>
                    <w:t>) for their company's unpaid superannuation guarantee charge (SGC) and pay as you go</w:t>
                  </w:r>
                  <w:r w:rsidRPr="00170842">
                    <w:rPr>
                      <w:rFonts w:ascii="Arial" w:eastAsia="Times New Roman" w:hAnsi="Arial" w:cs="Arial"/>
                      <w:b/>
                      <w:bCs/>
                      <w:color w:val="3F3F38"/>
                      <w:sz w:val="21"/>
                      <w:szCs w:val="21"/>
                      <w:lang w:eastAsia="en-AU"/>
                    </w:rPr>
                    <w:t> (</w:t>
                  </w:r>
                  <w:r w:rsidRPr="00170842">
                    <w:rPr>
                      <w:rFonts w:ascii="Arial" w:eastAsia="Times New Roman" w:hAnsi="Arial" w:cs="Arial"/>
                      <w:color w:val="3F3F38"/>
                      <w:sz w:val="21"/>
                      <w:szCs w:val="21"/>
                      <w:lang w:eastAsia="en-AU"/>
                    </w:rPr>
                    <w:t>PAYG) withholding amounts.</w:t>
                  </w:r>
                  <w:r w:rsidRPr="00170842">
                    <w:rPr>
                      <w:rFonts w:ascii="Arial" w:eastAsia="Times New Roman" w:hAnsi="Arial" w:cs="Arial"/>
                      <w:color w:val="3F3F38"/>
                      <w:sz w:val="21"/>
                      <w:szCs w:val="21"/>
                      <w:lang w:eastAsia="en-AU"/>
                    </w:rPr>
                    <w:br/>
                  </w:r>
                  <w:r w:rsidRPr="00170842">
                    <w:rPr>
                      <w:rFonts w:ascii="Arial" w:eastAsia="Times New Roman" w:hAnsi="Arial" w:cs="Arial"/>
                      <w:color w:val="3F3F38"/>
                      <w:sz w:val="21"/>
                      <w:szCs w:val="21"/>
                      <w:lang w:eastAsia="en-AU"/>
                    </w:rPr>
                    <w:br/>
                    <w:t xml:space="preserve">Section 269-10 of Schedule 1 to </w:t>
                  </w:r>
                  <w:proofErr w:type="spellStart"/>
                  <w:r w:rsidRPr="00170842">
                    <w:rPr>
                      <w:rFonts w:ascii="Arial" w:eastAsia="Times New Roman" w:hAnsi="Arial" w:cs="Arial"/>
                      <w:color w:val="3F3F38"/>
                      <w:sz w:val="21"/>
                      <w:szCs w:val="21"/>
                      <w:lang w:eastAsia="en-AU"/>
                    </w:rPr>
                    <w:t>the</w:t>
                  </w:r>
                  <w:r w:rsidRPr="00170842">
                    <w:rPr>
                      <w:rFonts w:ascii="Arial" w:eastAsia="Times New Roman" w:hAnsi="Arial" w:cs="Arial"/>
                      <w:i/>
                      <w:iCs/>
                      <w:color w:val="3F3F38"/>
                      <w:sz w:val="21"/>
                      <w:szCs w:val="21"/>
                      <w:lang w:eastAsia="en-AU"/>
                    </w:rPr>
                    <w:t>Taxation</w:t>
                  </w:r>
                  <w:proofErr w:type="spellEnd"/>
                  <w:r w:rsidRPr="00170842">
                    <w:rPr>
                      <w:rFonts w:ascii="Arial" w:eastAsia="Times New Roman" w:hAnsi="Arial" w:cs="Arial"/>
                      <w:i/>
                      <w:iCs/>
                      <w:color w:val="3F3F38"/>
                      <w:sz w:val="21"/>
                      <w:szCs w:val="21"/>
                      <w:lang w:eastAsia="en-AU"/>
                    </w:rPr>
                    <w:t xml:space="preserve"> Administration Act 1953</w:t>
                  </w:r>
                  <w:r w:rsidRPr="00170842">
                    <w:rPr>
                      <w:rFonts w:ascii="Arial" w:eastAsia="Times New Roman" w:hAnsi="Arial" w:cs="Arial"/>
                      <w:color w:val="3F3F38"/>
                      <w:sz w:val="21"/>
                      <w:szCs w:val="21"/>
                      <w:lang w:eastAsia="en-AU"/>
                    </w:rPr>
                    <w:t> (</w:t>
                  </w:r>
                  <w:proofErr w:type="spellStart"/>
                  <w:r w:rsidRPr="00170842">
                    <w:rPr>
                      <w:rFonts w:ascii="Arial" w:eastAsia="Times New Roman" w:hAnsi="Arial" w:cs="Arial"/>
                      <w:color w:val="3F3F38"/>
                      <w:sz w:val="21"/>
                      <w:szCs w:val="21"/>
                      <w:lang w:eastAsia="en-AU"/>
                    </w:rPr>
                    <w:t>Cth</w:t>
                  </w:r>
                  <w:proofErr w:type="spellEnd"/>
                  <w:r w:rsidRPr="00170842">
                    <w:rPr>
                      <w:rFonts w:ascii="Arial" w:eastAsia="Times New Roman" w:hAnsi="Arial" w:cs="Arial"/>
                      <w:color w:val="3F3F38"/>
                      <w:sz w:val="21"/>
                      <w:szCs w:val="21"/>
                      <w:lang w:eastAsia="en-AU"/>
                    </w:rPr>
                    <w:t>) provides a detailed list of the taxation debts which can be the subject of a DPN.</w:t>
                  </w:r>
                  <w:r w:rsidRPr="00170842">
                    <w:rPr>
                      <w:rFonts w:ascii="Arial" w:eastAsia="Times New Roman" w:hAnsi="Arial" w:cs="Arial"/>
                      <w:color w:val="3F3F38"/>
                      <w:sz w:val="21"/>
                      <w:szCs w:val="21"/>
                      <w:lang w:eastAsia="en-AU"/>
                    </w:rPr>
                    <w:br/>
                  </w:r>
                  <w:r w:rsidRPr="00170842">
                    <w:rPr>
                      <w:rFonts w:ascii="Arial" w:eastAsia="Times New Roman" w:hAnsi="Arial" w:cs="Arial"/>
                      <w:color w:val="3F3F38"/>
                      <w:sz w:val="21"/>
                      <w:szCs w:val="21"/>
                      <w:lang w:eastAsia="en-AU"/>
                    </w:rPr>
                    <w:br/>
                    <w:t>Directors and company advisors may become personally liable and incur civil and criminal liability for debts incurred during a period when there are reasonable grounds for suspecting that a company is or may become insolvent. Those grounds can include a failure to keep adequate accounting records. </w:t>
                  </w:r>
                  <w:r w:rsidRPr="00170842">
                    <w:rPr>
                      <w:rFonts w:ascii="Arial" w:eastAsia="Times New Roman" w:hAnsi="Arial" w:cs="Arial"/>
                      <w:color w:val="3F3F38"/>
                      <w:sz w:val="21"/>
                      <w:szCs w:val="21"/>
                      <w:lang w:eastAsia="en-AU"/>
                    </w:rPr>
                    <w:br/>
                  </w:r>
                  <w:r w:rsidRPr="00170842">
                    <w:rPr>
                      <w:rFonts w:ascii="Arial" w:eastAsia="Times New Roman" w:hAnsi="Arial" w:cs="Arial"/>
                      <w:color w:val="3F3F38"/>
                      <w:sz w:val="21"/>
                      <w:szCs w:val="21"/>
                      <w:lang w:eastAsia="en-AU"/>
                    </w:rPr>
                    <w:br/>
                    <w:t>It is essential that directors seek professional advice as to the steps they should take to attempt to avoid personal responsibility for company tax debts. </w:t>
                  </w:r>
                </w:p>
              </w:tc>
            </w:tr>
          </w:tbl>
          <w:p w:rsidR="00170842" w:rsidRPr="00170842" w:rsidRDefault="00170842" w:rsidP="00170842">
            <w:pPr>
              <w:spacing w:after="0" w:line="240" w:lineRule="auto"/>
              <w:rPr>
                <w:rFonts w:ascii="Times New Roman" w:eastAsia="Times New Roman" w:hAnsi="Times New Roman" w:cs="Times New Roman"/>
                <w:color w:val="000000"/>
                <w:sz w:val="27"/>
                <w:szCs w:val="27"/>
                <w:lang w:eastAsia="en-AU"/>
              </w:rPr>
            </w:pPr>
          </w:p>
        </w:tc>
      </w:tr>
    </w:tbl>
    <w:p w:rsidR="00170842" w:rsidRPr="00170842" w:rsidRDefault="00170842" w:rsidP="00170842">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9566"/>
      </w:tblGrid>
      <w:tr w:rsidR="00170842" w:rsidRPr="00170842" w:rsidTr="00170842">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9026"/>
            </w:tblGrid>
            <w:tr w:rsidR="00170842" w:rsidRPr="00170842">
              <w:tc>
                <w:tcPr>
                  <w:tcW w:w="0" w:type="auto"/>
                  <w:vAlign w:val="center"/>
                  <w:hideMark/>
                </w:tcPr>
                <w:p w:rsidR="00170842" w:rsidRPr="00170842" w:rsidRDefault="00170842" w:rsidP="00170842">
                  <w:pPr>
                    <w:spacing w:after="0" w:line="240" w:lineRule="auto"/>
                    <w:rPr>
                      <w:rFonts w:ascii="Times New Roman" w:eastAsia="Times New Roman" w:hAnsi="Times New Roman" w:cs="Times New Roman"/>
                      <w:sz w:val="24"/>
                      <w:szCs w:val="24"/>
                      <w:lang w:eastAsia="en-AU"/>
                    </w:rPr>
                  </w:pPr>
                </w:p>
              </w:tc>
            </w:tr>
          </w:tbl>
          <w:p w:rsidR="00170842" w:rsidRPr="00170842" w:rsidRDefault="00170842" w:rsidP="00170842">
            <w:pPr>
              <w:spacing w:after="0" w:line="240" w:lineRule="auto"/>
              <w:rPr>
                <w:rFonts w:ascii="Times New Roman" w:eastAsia="Times New Roman" w:hAnsi="Times New Roman" w:cs="Times New Roman"/>
                <w:color w:val="000000"/>
                <w:sz w:val="27"/>
                <w:szCs w:val="27"/>
                <w:lang w:eastAsia="en-AU"/>
              </w:rPr>
            </w:pPr>
          </w:p>
        </w:tc>
      </w:tr>
    </w:tbl>
    <w:p w:rsidR="004B6BD6" w:rsidRDefault="004B6BD6">
      <w:bookmarkStart w:id="0" w:name="_GoBack"/>
      <w:bookmarkEnd w:id="0"/>
    </w:p>
    <w:sectPr w:rsidR="004B6B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4E21"/>
    <w:multiLevelType w:val="multilevel"/>
    <w:tmpl w:val="1E98F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EA2C85"/>
    <w:multiLevelType w:val="multilevel"/>
    <w:tmpl w:val="3B628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42"/>
    <w:rsid w:val="00170842"/>
    <w:rsid w:val="004B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08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17084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842"/>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170842"/>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170842"/>
    <w:rPr>
      <w:b/>
      <w:bCs/>
    </w:rPr>
  </w:style>
  <w:style w:type="character" w:styleId="Emphasis">
    <w:name w:val="Emphasis"/>
    <w:basedOn w:val="DefaultParagraphFont"/>
    <w:uiPriority w:val="20"/>
    <w:qFormat/>
    <w:rsid w:val="00170842"/>
    <w:rPr>
      <w:i/>
      <w:iCs/>
    </w:rPr>
  </w:style>
  <w:style w:type="character" w:customStyle="1" w:styleId="apple-converted-space">
    <w:name w:val="apple-converted-space"/>
    <w:basedOn w:val="DefaultParagraphFont"/>
    <w:rsid w:val="00170842"/>
  </w:style>
  <w:style w:type="character" w:styleId="Hyperlink">
    <w:name w:val="Hyperlink"/>
    <w:basedOn w:val="DefaultParagraphFont"/>
    <w:uiPriority w:val="99"/>
    <w:semiHidden/>
    <w:unhideWhenUsed/>
    <w:rsid w:val="001708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08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17084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842"/>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170842"/>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170842"/>
    <w:rPr>
      <w:b/>
      <w:bCs/>
    </w:rPr>
  </w:style>
  <w:style w:type="character" w:styleId="Emphasis">
    <w:name w:val="Emphasis"/>
    <w:basedOn w:val="DefaultParagraphFont"/>
    <w:uiPriority w:val="20"/>
    <w:qFormat/>
    <w:rsid w:val="00170842"/>
    <w:rPr>
      <w:i/>
      <w:iCs/>
    </w:rPr>
  </w:style>
  <w:style w:type="character" w:customStyle="1" w:styleId="apple-converted-space">
    <w:name w:val="apple-converted-space"/>
    <w:basedOn w:val="DefaultParagraphFont"/>
    <w:rsid w:val="00170842"/>
  </w:style>
  <w:style w:type="character" w:styleId="Hyperlink">
    <w:name w:val="Hyperlink"/>
    <w:basedOn w:val="DefaultParagraphFont"/>
    <w:uiPriority w:val="99"/>
    <w:semiHidden/>
    <w:unhideWhenUsed/>
    <w:rsid w:val="00170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72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allery.mailchimp.com/d7ac35d590989fce96f6014e9/files/Clive_Mills_Advert_Newsletter_3rd_ed_2014.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Legal1</dc:creator>
  <cp:lastModifiedBy>Para Legal1</cp:lastModifiedBy>
  <cp:revision>1</cp:revision>
  <dcterms:created xsi:type="dcterms:W3CDTF">2016-08-23T01:13:00Z</dcterms:created>
  <dcterms:modified xsi:type="dcterms:W3CDTF">2016-08-23T01:14:00Z</dcterms:modified>
</cp:coreProperties>
</file>