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6A6152" w:rsidRPr="006A6152" w:rsidTr="006A6152">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A6152" w:rsidRPr="006A6152">
              <w:trPr>
                <w:jc w:val="center"/>
              </w:trPr>
              <w:tc>
                <w:tcPr>
                  <w:tcW w:w="0" w:type="auto"/>
                  <w:shd w:val="clear" w:color="auto" w:fill="FFFFFF"/>
                  <w:vAlign w:val="center"/>
                  <w:hideMark/>
                </w:tcPr>
                <w:p w:rsidR="006A6152" w:rsidRPr="006A6152" w:rsidRDefault="006A6152" w:rsidP="006A6152">
                  <w:pPr>
                    <w:spacing w:after="0" w:line="510" w:lineRule="atLeast"/>
                    <w:jc w:val="center"/>
                    <w:rPr>
                      <w:rFonts w:ascii="Arial" w:eastAsia="Times New Roman" w:hAnsi="Arial" w:cs="Arial"/>
                      <w:b/>
                      <w:bCs/>
                      <w:color w:val="202020"/>
                      <w:sz w:val="51"/>
                      <w:szCs w:val="51"/>
                      <w:lang w:eastAsia="en-AU"/>
                    </w:rPr>
                  </w:pPr>
                  <w:r w:rsidRPr="006A6152">
                    <w:rPr>
                      <w:rFonts w:ascii="Arial" w:eastAsia="Times New Roman" w:hAnsi="Arial" w:cs="Arial"/>
                      <w:b/>
                      <w:bCs/>
                      <w:noProof/>
                      <w:color w:val="202020"/>
                      <w:sz w:val="51"/>
                      <w:szCs w:val="51"/>
                      <w:lang w:eastAsia="en-AU"/>
                    </w:rPr>
                    <w:drawing>
                      <wp:inline distT="0" distB="0" distL="0" distR="0" wp14:anchorId="52009D9F" wp14:editId="7CABB52C">
                        <wp:extent cx="5715000" cy="2581275"/>
                        <wp:effectExtent l="0" t="0" r="0" b="9525"/>
                        <wp:docPr id="1" name="Picture 1" descr="https://gallery.mailchimp.com/d7ac35d590989fce96f6014e9/images/bed454f5-374e-46e6-a733-ff8ea43181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d7ac35d590989fce96f6014e9/images/bed454f5-374e-46e6-a733-ff8ea431817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581275"/>
                                </a:xfrm>
                                <a:prstGeom prst="rect">
                                  <a:avLst/>
                                </a:prstGeom>
                                <a:noFill/>
                                <a:ln>
                                  <a:noFill/>
                                </a:ln>
                              </pic:spPr>
                            </pic:pic>
                          </a:graphicData>
                        </a:graphic>
                      </wp:inline>
                    </w:drawing>
                  </w:r>
                </w:p>
              </w:tc>
            </w:tr>
          </w:tbl>
          <w:p w:rsidR="006A6152" w:rsidRPr="006A6152" w:rsidRDefault="006A6152" w:rsidP="006A6152">
            <w:pPr>
              <w:spacing w:after="0" w:line="240" w:lineRule="auto"/>
              <w:jc w:val="center"/>
              <w:rPr>
                <w:rFonts w:ascii="Times New Roman" w:eastAsia="Times New Roman" w:hAnsi="Times New Roman" w:cs="Times New Roman"/>
                <w:color w:val="000000"/>
                <w:sz w:val="27"/>
                <w:szCs w:val="27"/>
                <w:lang w:eastAsia="en-AU"/>
              </w:rPr>
            </w:pPr>
          </w:p>
        </w:tc>
      </w:tr>
      <w:tr w:rsidR="006A6152" w:rsidRPr="006A6152" w:rsidTr="006A6152">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6A6152" w:rsidRPr="006A6152">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6A6152" w:rsidRPr="006A6152">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6A6152" w:rsidRPr="006A6152">
                          <w:tc>
                            <w:tcPr>
                              <w:tcW w:w="0" w:type="auto"/>
                              <w:hideMark/>
                            </w:tcPr>
                            <w:p w:rsidR="006A6152" w:rsidRPr="006A6152" w:rsidRDefault="006A6152" w:rsidP="006A6152">
                              <w:pPr>
                                <w:spacing w:after="150" w:line="510" w:lineRule="atLeast"/>
                                <w:outlineLvl w:val="0"/>
                                <w:rPr>
                                  <w:rFonts w:ascii="Arial" w:eastAsia="Times New Roman" w:hAnsi="Arial" w:cs="Arial"/>
                                  <w:color w:val="2A3994"/>
                                  <w:kern w:val="36"/>
                                  <w:sz w:val="51"/>
                                  <w:szCs w:val="51"/>
                                  <w:lang w:eastAsia="en-AU"/>
                                </w:rPr>
                              </w:pPr>
                              <w:r w:rsidRPr="006A6152">
                                <w:rPr>
                                  <w:rFonts w:ascii="Arial" w:eastAsia="Times New Roman" w:hAnsi="Arial" w:cs="Arial"/>
                                  <w:color w:val="2A3994"/>
                                  <w:kern w:val="36"/>
                                  <w:sz w:val="51"/>
                                  <w:szCs w:val="51"/>
                                  <w:lang w:eastAsia="en-AU"/>
                                </w:rPr>
                                <w:t>June 2015 Newsletter</w:t>
                              </w:r>
                            </w:p>
                            <w:p w:rsidR="006A6152" w:rsidRPr="006A6152" w:rsidRDefault="006A6152" w:rsidP="006A6152">
                              <w:pPr>
                                <w:spacing w:after="0" w:line="240" w:lineRule="auto"/>
                                <w:rPr>
                                  <w:rFonts w:ascii="Times New Roman" w:eastAsia="Times New Roman" w:hAnsi="Times New Roman" w:cs="Times New Roman"/>
                                  <w:sz w:val="24"/>
                                  <w:szCs w:val="24"/>
                                  <w:lang w:eastAsia="en-AU"/>
                                </w:rPr>
                              </w:pPr>
                              <w:r w:rsidRPr="006A6152">
                                <w:rPr>
                                  <w:rFonts w:ascii="Times New Roman" w:eastAsia="Times New Roman" w:hAnsi="Times New Roman" w:cs="Times New Roman"/>
                                  <w:noProof/>
                                  <w:sz w:val="24"/>
                                  <w:szCs w:val="24"/>
                                  <w:lang w:eastAsia="en-AU"/>
                                </w:rPr>
                                <w:drawing>
                                  <wp:inline distT="0" distB="0" distL="0" distR="0" wp14:anchorId="570D91B8" wp14:editId="3E9C1B68">
                                    <wp:extent cx="9525" cy="9525"/>
                                    <wp:effectExtent l="0" t="0" r="0" b="0"/>
                                    <wp:docPr id="2" name="Picture 2" descr="http://gallery.mailchimp.com/653153ae841fd11de66ad181a/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lery.mailchimp.com/653153ae841fd11de66ad181a/images/transparen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A6152" w:rsidRPr="006A6152" w:rsidRDefault="006A6152" w:rsidP="006A6152">
                              <w:pPr>
                                <w:spacing w:after="150" w:line="510" w:lineRule="atLeast"/>
                                <w:outlineLvl w:val="0"/>
                                <w:rPr>
                                  <w:rFonts w:ascii="Arial" w:eastAsia="Times New Roman" w:hAnsi="Arial" w:cs="Arial"/>
                                  <w:color w:val="2A3994"/>
                                  <w:kern w:val="36"/>
                                  <w:sz w:val="51"/>
                                  <w:szCs w:val="51"/>
                                  <w:lang w:eastAsia="en-AU"/>
                                </w:rPr>
                              </w:pPr>
                              <w:r w:rsidRPr="006A6152">
                                <w:rPr>
                                  <w:rFonts w:ascii="Arial" w:eastAsia="Times New Roman" w:hAnsi="Arial" w:cs="Arial"/>
                                  <w:color w:val="2A3994"/>
                                  <w:kern w:val="36"/>
                                  <w:sz w:val="51"/>
                                  <w:szCs w:val="51"/>
                                  <w:lang w:eastAsia="en-AU"/>
                                </w:rPr>
                                <w:br/>
                              </w:r>
                              <w:r w:rsidRPr="006A6152">
                                <w:rPr>
                                  <w:rFonts w:ascii="Arial" w:eastAsia="Times New Roman" w:hAnsi="Arial" w:cs="Arial"/>
                                  <w:i/>
                                  <w:iCs/>
                                  <w:color w:val="000000"/>
                                  <w:kern w:val="36"/>
                                  <w:sz w:val="45"/>
                                  <w:szCs w:val="45"/>
                                  <w:u w:val="single"/>
                                  <w:lang w:eastAsia="en-AU"/>
                                </w:rPr>
                                <w:t xml:space="preserve">Could You Be </w:t>
                              </w:r>
                              <w:proofErr w:type="spellStart"/>
                              <w:r w:rsidRPr="006A6152">
                                <w:rPr>
                                  <w:rFonts w:ascii="Arial" w:eastAsia="Times New Roman" w:hAnsi="Arial" w:cs="Arial"/>
                                  <w:i/>
                                  <w:iCs/>
                                  <w:color w:val="000000"/>
                                  <w:kern w:val="36"/>
                                  <w:sz w:val="45"/>
                                  <w:szCs w:val="45"/>
                                  <w:u w:val="single"/>
                                  <w:lang w:eastAsia="en-AU"/>
                                </w:rPr>
                                <w:t>FIRBed</w:t>
                              </w:r>
                              <w:proofErr w:type="spellEnd"/>
                              <w:r w:rsidRPr="006A6152">
                                <w:rPr>
                                  <w:rFonts w:ascii="Arial" w:eastAsia="Times New Roman" w:hAnsi="Arial" w:cs="Arial"/>
                                  <w:i/>
                                  <w:iCs/>
                                  <w:color w:val="000000"/>
                                  <w:kern w:val="36"/>
                                  <w:sz w:val="45"/>
                                  <w:szCs w:val="45"/>
                                  <w:u w:val="single"/>
                                  <w:lang w:eastAsia="en-AU"/>
                                </w:rPr>
                                <w:t>?</w:t>
                              </w:r>
                            </w:p>
                            <w:p w:rsidR="006A6152" w:rsidRPr="006A6152" w:rsidRDefault="006A6152" w:rsidP="006A6152">
                              <w:pPr>
                                <w:spacing w:after="150" w:line="390" w:lineRule="atLeast"/>
                                <w:outlineLvl w:val="2"/>
                                <w:rPr>
                                  <w:rFonts w:ascii="Arial" w:eastAsia="Times New Roman" w:hAnsi="Arial" w:cs="Arial"/>
                                  <w:color w:val="2A3994"/>
                                  <w:sz w:val="39"/>
                                  <w:szCs w:val="39"/>
                                  <w:lang w:eastAsia="en-AU"/>
                                </w:rPr>
                              </w:pPr>
                              <w:r w:rsidRPr="006A6152">
                                <w:rPr>
                                  <w:rFonts w:ascii="Arial" w:eastAsia="Times New Roman" w:hAnsi="Arial" w:cs="Arial"/>
                                  <w:color w:val="414141"/>
                                  <w:sz w:val="21"/>
                                  <w:szCs w:val="21"/>
                                  <w:lang w:eastAsia="en-AU"/>
                                </w:rPr>
                                <w:t>Interesting and, for some, stressful, experiences await many in relation to the Sydney property market in the next 6 to 18 months and all those it affects particularly real estate agents, solicitors, licensed conveyancers and homebuyers - especially “</w:t>
                              </w:r>
                              <w:r w:rsidRPr="006A6152">
                                <w:rPr>
                                  <w:rFonts w:ascii="Arial" w:eastAsia="Times New Roman" w:hAnsi="Arial" w:cs="Arial"/>
                                  <w:i/>
                                  <w:iCs/>
                                  <w:color w:val="414141"/>
                                  <w:sz w:val="21"/>
                                  <w:szCs w:val="21"/>
                                  <w:lang w:eastAsia="en-AU"/>
                                </w:rPr>
                                <w:t>foreign buyers</w:t>
                              </w:r>
                              <w:r w:rsidRPr="006A6152">
                                <w:rPr>
                                  <w:rFonts w:ascii="Arial" w:eastAsia="Times New Roman" w:hAnsi="Arial" w:cs="Arial"/>
                                  <w:color w:val="414141"/>
                                  <w:sz w:val="21"/>
                                  <w:szCs w:val="21"/>
                                  <w:lang w:eastAsia="en-AU"/>
                                </w:rPr>
                                <w:t>”.</w:t>
                              </w:r>
                            </w:p>
                            <w:p w:rsidR="006A6152" w:rsidRPr="006A6152" w:rsidRDefault="006A6152" w:rsidP="006A6152">
                              <w:pPr>
                                <w:spacing w:after="0" w:line="315" w:lineRule="atLeast"/>
                                <w:rPr>
                                  <w:rFonts w:ascii="Arial" w:eastAsia="Times New Roman" w:hAnsi="Arial" w:cs="Arial"/>
                                  <w:color w:val="414141"/>
                                  <w:sz w:val="21"/>
                                  <w:szCs w:val="21"/>
                                  <w:lang w:eastAsia="en-AU"/>
                                </w:rPr>
                              </w:pPr>
                              <w:r w:rsidRPr="006A6152">
                                <w:rPr>
                                  <w:rFonts w:ascii="Arial" w:eastAsia="Times New Roman" w:hAnsi="Arial" w:cs="Arial"/>
                                  <w:color w:val="414141"/>
                                  <w:sz w:val="21"/>
                                  <w:szCs w:val="21"/>
                                  <w:lang w:eastAsia="en-AU"/>
                                </w:rPr>
                                <w:t>Potentially costly times lay ahead for some buyers and owners who may not be aware now, or, who may not have been aware in the past, but who, in all probability, will become aware in the next 6 months, that they need (or previously needed) approval from the </w:t>
                              </w:r>
                              <w:r w:rsidRPr="006A6152">
                                <w:rPr>
                                  <w:rFonts w:ascii="Arial" w:eastAsia="Times New Roman" w:hAnsi="Arial" w:cs="Arial"/>
                                  <w:i/>
                                  <w:iCs/>
                                  <w:color w:val="414141"/>
                                  <w:sz w:val="21"/>
                                  <w:szCs w:val="21"/>
                                  <w:lang w:eastAsia="en-AU"/>
                                </w:rPr>
                                <w:t>“FIRB</w:t>
                              </w:r>
                              <w:r w:rsidRPr="006A6152">
                                <w:rPr>
                                  <w:rFonts w:ascii="Arial" w:eastAsia="Times New Roman" w:hAnsi="Arial" w:cs="Arial"/>
                                  <w:color w:val="414141"/>
                                  <w:sz w:val="21"/>
                                  <w:szCs w:val="21"/>
                                  <w:lang w:eastAsia="en-AU"/>
                                </w:rPr>
                                <w:t>” - who are not a sister department of MIB (“Men in Black”) but the less funereal “</w:t>
                              </w:r>
                              <w:r w:rsidRPr="006A6152">
                                <w:rPr>
                                  <w:rFonts w:ascii="Arial" w:eastAsia="Times New Roman" w:hAnsi="Arial" w:cs="Arial"/>
                                  <w:i/>
                                  <w:iCs/>
                                  <w:color w:val="414141"/>
                                  <w:sz w:val="21"/>
                                  <w:szCs w:val="21"/>
                                  <w:lang w:eastAsia="en-AU"/>
                                </w:rPr>
                                <w:t>Foreign Investment Review Board” </w:t>
                              </w:r>
                              <w:r w:rsidRPr="006A6152">
                                <w:rPr>
                                  <w:rFonts w:ascii="Arial" w:eastAsia="Times New Roman" w:hAnsi="Arial" w:cs="Arial"/>
                                  <w:color w:val="414141"/>
                                  <w:sz w:val="21"/>
                                  <w:szCs w:val="21"/>
                                  <w:lang w:eastAsia="en-AU"/>
                                </w:rPr>
                                <w:t>which was established under the 40 year old Act the “</w:t>
                              </w:r>
                              <w:r w:rsidRPr="006A6152">
                                <w:rPr>
                                  <w:rFonts w:ascii="Arial" w:eastAsia="Times New Roman" w:hAnsi="Arial" w:cs="Arial"/>
                                  <w:i/>
                                  <w:iCs/>
                                  <w:color w:val="414141"/>
                                  <w:sz w:val="21"/>
                                  <w:szCs w:val="21"/>
                                  <w:lang w:eastAsia="en-AU"/>
                                </w:rPr>
                                <w:t>Foreign Acquisitions and Takeovers Act 1975” </w:t>
                              </w:r>
                              <w:r w:rsidRPr="006A6152">
                                <w:rPr>
                                  <w:rFonts w:ascii="Arial" w:eastAsia="Times New Roman" w:hAnsi="Arial" w:cs="Arial"/>
                                  <w:color w:val="414141"/>
                                  <w:sz w:val="21"/>
                                  <w:szCs w:val="21"/>
                                  <w:lang w:eastAsia="en-AU"/>
                                </w:rPr>
                                <w:t> (the “Act”) which, together with equally complex </w:t>
                              </w:r>
                              <w:r w:rsidRPr="006A6152">
                                <w:rPr>
                                  <w:rFonts w:ascii="Arial" w:eastAsia="Times New Roman" w:hAnsi="Arial" w:cs="Arial"/>
                                  <w:i/>
                                  <w:iCs/>
                                  <w:color w:val="414141"/>
                                  <w:sz w:val="21"/>
                                  <w:szCs w:val="21"/>
                                  <w:lang w:eastAsia="en-AU"/>
                                </w:rPr>
                                <w:t>“Foreign Acquisitions and Takeover Regulations 1989 (</w:t>
                              </w:r>
                              <w:proofErr w:type="spellStart"/>
                              <w:r w:rsidRPr="006A6152">
                                <w:rPr>
                                  <w:rFonts w:ascii="Arial" w:eastAsia="Times New Roman" w:hAnsi="Arial" w:cs="Arial"/>
                                  <w:i/>
                                  <w:iCs/>
                                  <w:color w:val="414141"/>
                                  <w:sz w:val="21"/>
                                  <w:szCs w:val="21"/>
                                  <w:lang w:eastAsia="en-AU"/>
                                </w:rPr>
                                <w:t>Cth</w:t>
                              </w:r>
                              <w:proofErr w:type="spellEnd"/>
                              <w:r w:rsidRPr="006A6152">
                                <w:rPr>
                                  <w:rFonts w:ascii="Arial" w:eastAsia="Times New Roman" w:hAnsi="Arial" w:cs="Arial"/>
                                  <w:i/>
                                  <w:iCs/>
                                  <w:color w:val="414141"/>
                                  <w:sz w:val="21"/>
                                  <w:szCs w:val="21"/>
                                  <w:lang w:eastAsia="en-AU"/>
                                </w:rPr>
                                <w:t>)”</w:t>
                              </w:r>
                              <w:r w:rsidRPr="006A6152">
                                <w:rPr>
                                  <w:rFonts w:ascii="Arial" w:eastAsia="Times New Roman" w:hAnsi="Arial" w:cs="Arial"/>
                                  <w:color w:val="414141"/>
                                  <w:sz w:val="21"/>
                                  <w:szCs w:val="21"/>
                                  <w:lang w:eastAsia="en-AU"/>
                                </w:rPr>
                                <w:t>(“FATR”), are about to take on a new lease of life and assist the Federal Government to “</w:t>
                              </w:r>
                              <w:r w:rsidRPr="006A6152">
                                <w:rPr>
                                  <w:rFonts w:ascii="Arial" w:eastAsia="Times New Roman" w:hAnsi="Arial" w:cs="Arial"/>
                                  <w:i/>
                                  <w:iCs/>
                                  <w:color w:val="414141"/>
                                  <w:sz w:val="21"/>
                                  <w:szCs w:val="21"/>
                                  <w:lang w:eastAsia="en-AU"/>
                                </w:rPr>
                                <w:t>Stop the illegal foreign buyers</w:t>
                              </w:r>
                              <w:r w:rsidRPr="006A6152">
                                <w:rPr>
                                  <w:rFonts w:ascii="Arial" w:eastAsia="Times New Roman" w:hAnsi="Arial" w:cs="Arial"/>
                                  <w:color w:val="414141"/>
                                  <w:sz w:val="21"/>
                                  <w:szCs w:val="21"/>
                                  <w:lang w:eastAsia="en-AU"/>
                                </w:rPr>
                                <w:t>” who are believed by many in the government and elsewhere to be a significant factor in pushing up the prices of houses and apartments in Sydney.</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So what’s changed and why are things now different to when this Act was passed when flared trousers and platform heels were the last word in sartorial elegance and a vendor of a terraced house in Paddington asking $100,000 was “dreaming”?</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On Saturday 9 May 2015, Mr Abbott declared a change to government policy and a crackdown on illegal foreign buyers of Australian real estate.</w:t>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lastRenderedPageBreak/>
                                <w:t> </w:t>
                              </w:r>
                              <w:r w:rsidRPr="006A6152">
                                <w:rPr>
                                  <w:rFonts w:ascii="Arial" w:eastAsia="Times New Roman" w:hAnsi="Arial" w:cs="Arial"/>
                                  <w:color w:val="414141"/>
                                  <w:sz w:val="21"/>
                                  <w:szCs w:val="21"/>
                                  <w:lang w:eastAsia="en-AU"/>
                                </w:rPr>
                                <w:br/>
                                <w:t>Whilst $5,000 fees for many “foreign buyers” payable from December 2015, have caused Mr Simon Henry of the Chinese language website Juwai.com where many overseas buyers look to buy Australian property to say:</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w:t>
                              </w:r>
                              <w:r w:rsidRPr="006A6152">
                                <w:rPr>
                                  <w:rFonts w:ascii="Arial" w:eastAsia="Times New Roman" w:hAnsi="Arial" w:cs="Arial"/>
                                  <w:i/>
                                  <w:iCs/>
                                  <w:color w:val="414141"/>
                                  <w:sz w:val="21"/>
                                  <w:szCs w:val="21"/>
                                  <w:lang w:eastAsia="en-AU"/>
                                </w:rPr>
                                <w:t>There is no other country that charges fees to foreign investors that is actually seeking foreign investment”;</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 xml:space="preserve"> to some vendors and real estate agents, potentially of more concern is that the Parliamentary Secretary, Kelly </w:t>
                              </w:r>
                              <w:proofErr w:type="spellStart"/>
                              <w:r w:rsidRPr="006A6152">
                                <w:rPr>
                                  <w:rFonts w:ascii="Arial" w:eastAsia="Times New Roman" w:hAnsi="Arial" w:cs="Arial"/>
                                  <w:color w:val="414141"/>
                                  <w:sz w:val="21"/>
                                  <w:szCs w:val="21"/>
                                  <w:lang w:eastAsia="en-AU"/>
                                </w:rPr>
                                <w:t>O’Dwyer</w:t>
                              </w:r>
                              <w:proofErr w:type="spellEnd"/>
                              <w:r w:rsidRPr="006A6152">
                                <w:rPr>
                                  <w:rFonts w:ascii="Arial" w:eastAsia="Times New Roman" w:hAnsi="Arial" w:cs="Arial"/>
                                  <w:color w:val="414141"/>
                                  <w:sz w:val="21"/>
                                  <w:szCs w:val="21"/>
                                  <w:lang w:eastAsia="en-AU"/>
                                </w:rPr>
                                <w:t>, has recently stated that the Australian Taxation Office is to undertake a data-matching campaign which may lead to </w:t>
                              </w:r>
                              <w:r w:rsidRPr="006A6152">
                                <w:rPr>
                                  <w:rFonts w:ascii="Arial" w:eastAsia="Times New Roman" w:hAnsi="Arial" w:cs="Arial"/>
                                  <w:i/>
                                  <w:iCs/>
                                  <w:color w:val="414141"/>
                                  <w:sz w:val="21"/>
                                  <w:szCs w:val="21"/>
                                  <w:lang w:eastAsia="en-AU"/>
                                </w:rPr>
                                <w:t>audits</w:t>
                              </w:r>
                              <w:r w:rsidRPr="006A6152">
                                <w:rPr>
                                  <w:rFonts w:ascii="Arial" w:eastAsia="Times New Roman" w:hAnsi="Arial" w:cs="Arial"/>
                                  <w:color w:val="414141"/>
                                  <w:sz w:val="21"/>
                                  <w:szCs w:val="21"/>
                                  <w:lang w:eastAsia="en-AU"/>
                                </w:rPr>
                                <w:t> of taxpayers and </w:t>
                              </w:r>
                              <w:r w:rsidRPr="006A6152">
                                <w:rPr>
                                  <w:rFonts w:ascii="Arial" w:eastAsia="Times New Roman" w:hAnsi="Arial" w:cs="Arial"/>
                                  <w:i/>
                                  <w:iCs/>
                                  <w:color w:val="414141"/>
                                  <w:sz w:val="21"/>
                                  <w:szCs w:val="21"/>
                                  <w:lang w:eastAsia="en-AU"/>
                                </w:rPr>
                                <w:t>criminal prosecutions</w:t>
                              </w:r>
                              <w:r w:rsidRPr="006A6152">
                                <w:rPr>
                                  <w:rFonts w:ascii="Arial" w:eastAsia="Times New Roman" w:hAnsi="Arial" w:cs="Arial"/>
                                  <w:color w:val="414141"/>
                                  <w:sz w:val="21"/>
                                  <w:szCs w:val="21"/>
                                  <w:lang w:eastAsia="en-AU"/>
                                </w:rPr>
                                <w:t>.</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The Tax Office is said to go through the records of 30,000 “entities” and cross-check with other government agencies the names, contact details, country of residence, nationality, passport details and the type and title references of the land owned by those entities.</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The Act provides that a “foreign person” wishing to buy real estate in Australia should seek prior approval from the FIRB unless exempt from that requirement.</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 xml:space="preserve">The legislation and regulations </w:t>
                              </w:r>
                              <w:proofErr w:type="gramStart"/>
                              <w:r w:rsidRPr="006A6152">
                                <w:rPr>
                                  <w:rFonts w:ascii="Arial" w:eastAsia="Times New Roman" w:hAnsi="Arial" w:cs="Arial"/>
                                  <w:color w:val="414141"/>
                                  <w:sz w:val="21"/>
                                  <w:szCs w:val="21"/>
                                  <w:lang w:eastAsia="en-AU"/>
                                </w:rPr>
                                <w:t>are</w:t>
                              </w:r>
                              <w:proofErr w:type="gramEnd"/>
                              <w:r w:rsidRPr="006A6152">
                                <w:rPr>
                                  <w:rFonts w:ascii="Arial" w:eastAsia="Times New Roman" w:hAnsi="Arial" w:cs="Arial"/>
                                  <w:color w:val="414141"/>
                                  <w:sz w:val="21"/>
                                  <w:szCs w:val="21"/>
                                  <w:lang w:eastAsia="en-AU"/>
                                </w:rPr>
                                <w:t xml:space="preserve"> complex and will not be easy for many persons, whether “foreign” or otherwise and whether or not English is their first language, to comprehend.</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The definition of a “</w:t>
                              </w:r>
                              <w:r w:rsidRPr="006A6152">
                                <w:rPr>
                                  <w:rFonts w:ascii="Arial" w:eastAsia="Times New Roman" w:hAnsi="Arial" w:cs="Arial"/>
                                  <w:i/>
                                  <w:iCs/>
                                  <w:color w:val="414141"/>
                                  <w:sz w:val="21"/>
                                  <w:szCs w:val="21"/>
                                  <w:lang w:eastAsia="en-AU"/>
                                </w:rPr>
                                <w:t>foreign person”</w:t>
                              </w:r>
                              <w:r w:rsidRPr="006A6152">
                                <w:rPr>
                                  <w:rFonts w:ascii="Arial" w:eastAsia="Times New Roman" w:hAnsi="Arial" w:cs="Arial"/>
                                  <w:color w:val="414141"/>
                                  <w:sz w:val="21"/>
                                  <w:szCs w:val="21"/>
                                  <w:lang w:eastAsia="en-AU"/>
                                </w:rPr>
                                <w:t> is set out in s5 of the Act and includes:</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w:t>
                              </w:r>
                              <w:r w:rsidRPr="006A6152">
                                <w:rPr>
                                  <w:rFonts w:ascii="Arial" w:eastAsia="Times New Roman" w:hAnsi="Arial" w:cs="Arial"/>
                                  <w:i/>
                                  <w:iCs/>
                                  <w:color w:val="414141"/>
                                  <w:sz w:val="21"/>
                                  <w:szCs w:val="21"/>
                                  <w:lang w:eastAsia="en-AU"/>
                                </w:rPr>
                                <w:t>a natural person not ordinarily resident in Australia</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w:t>
                              </w:r>
                              <w:r w:rsidRPr="006A6152">
                                <w:rPr>
                                  <w:rFonts w:ascii="Arial" w:eastAsia="Times New Roman" w:hAnsi="Arial" w:cs="Arial"/>
                                  <w:i/>
                                  <w:iCs/>
                                  <w:color w:val="414141"/>
                                  <w:sz w:val="21"/>
                                  <w:szCs w:val="21"/>
                                  <w:lang w:eastAsia="en-AU"/>
                                </w:rPr>
                                <w:t>a corporation in which a natural person not ordinarily resident in Australia or a foreign corporation holds a controlling interest </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w:t>
                              </w:r>
                              <w:r w:rsidRPr="006A6152">
                                <w:rPr>
                                  <w:rFonts w:ascii="Arial" w:eastAsia="Times New Roman" w:hAnsi="Arial" w:cs="Arial"/>
                                  <w:i/>
                                  <w:iCs/>
                                  <w:color w:val="414141"/>
                                  <w:sz w:val="21"/>
                                  <w:szCs w:val="21"/>
                                  <w:lang w:eastAsia="en-AU"/>
                                </w:rPr>
                                <w:t>a corporation in which 2 or more persons, each of whom is either a natural person not ordinarily resident in Australia or a foreign corporation hold an aggregate interest </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Acquisitions by:</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w:t>
                              </w:r>
                              <w:r w:rsidRPr="006A6152">
                                <w:rPr>
                                  <w:rFonts w:ascii="Arial" w:eastAsia="Times New Roman" w:hAnsi="Arial" w:cs="Arial"/>
                                  <w:i/>
                                  <w:iCs/>
                                  <w:color w:val="414141"/>
                                  <w:sz w:val="21"/>
                                  <w:szCs w:val="21"/>
                                  <w:lang w:eastAsia="en-AU"/>
                                </w:rPr>
                                <w:t>Australian citizens resident abroad (clause 3 of the FATR)</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w:t>
                              </w:r>
                              <w:r w:rsidRPr="006A6152">
                                <w:rPr>
                                  <w:rFonts w:ascii="Arial" w:eastAsia="Times New Roman" w:hAnsi="Arial" w:cs="Arial"/>
                                  <w:i/>
                                  <w:iCs/>
                                  <w:color w:val="414141"/>
                                  <w:sz w:val="21"/>
                                  <w:szCs w:val="21"/>
                                  <w:lang w:eastAsia="en-AU"/>
                                </w:rPr>
                                <w:t>foreign nationals who hold permanent resident visas or who hold or, are entitled to hold, a special category visa and who are purchasing residential property either in their own names or through an Australian corporation or trust; and</w:t>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lastRenderedPageBreak/>
                                <w:t> </w:t>
                              </w:r>
                              <w:r w:rsidRPr="006A6152">
                                <w:rPr>
                                  <w:rFonts w:ascii="Arial" w:eastAsia="Times New Roman" w:hAnsi="Arial" w:cs="Arial"/>
                                  <w:color w:val="414141"/>
                                  <w:sz w:val="21"/>
                                  <w:szCs w:val="21"/>
                                  <w:lang w:eastAsia="en-AU"/>
                                </w:rPr>
                                <w:br/>
                                <w:t>-</w:t>
                              </w:r>
                              <w:r w:rsidRPr="006A6152">
                                <w:rPr>
                                  <w:rFonts w:ascii="Arial" w:eastAsia="Times New Roman" w:hAnsi="Arial" w:cs="Arial"/>
                                  <w:i/>
                                  <w:iCs/>
                                  <w:color w:val="414141"/>
                                  <w:sz w:val="21"/>
                                  <w:szCs w:val="21"/>
                                  <w:lang w:eastAsia="en-AU"/>
                                </w:rPr>
                                <w:t>foreign nationals purchasing (as joint tenants) with an Australian citizen spouse or de facto spouse</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are</w:t>
                              </w:r>
                              <w:r w:rsidRPr="006A6152">
                                <w:rPr>
                                  <w:rFonts w:ascii="Arial" w:eastAsia="Times New Roman" w:hAnsi="Arial" w:cs="Arial"/>
                                  <w:i/>
                                  <w:iCs/>
                                  <w:color w:val="414141"/>
                                  <w:sz w:val="21"/>
                                  <w:szCs w:val="21"/>
                                  <w:lang w:eastAsia="en-AU"/>
                                </w:rPr>
                                <w:t> exempt</w:t>
                              </w:r>
                              <w:r w:rsidRPr="006A6152">
                                <w:rPr>
                                  <w:rFonts w:ascii="Arial" w:eastAsia="Times New Roman" w:hAnsi="Arial" w:cs="Arial"/>
                                  <w:color w:val="414141"/>
                                  <w:sz w:val="21"/>
                                  <w:szCs w:val="21"/>
                                  <w:lang w:eastAsia="en-AU"/>
                                </w:rPr>
                                <w:t> from the requirement to obtain FRIB approval.</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Otherwise, all other proposals to acquire residential real estate by foreign persons must be made to the FIRB (</w:t>
                              </w:r>
                              <w:proofErr w:type="spellStart"/>
                              <w:r w:rsidRPr="006A6152">
                                <w:rPr>
                                  <w:rFonts w:ascii="Arial" w:eastAsia="Times New Roman" w:hAnsi="Arial" w:cs="Arial"/>
                                  <w:i/>
                                  <w:iCs/>
                                  <w:color w:val="414141"/>
                                  <w:sz w:val="21"/>
                                  <w:szCs w:val="21"/>
                                  <w:lang w:eastAsia="en-AU"/>
                                </w:rPr>
                                <w:t>Reg</w:t>
                              </w:r>
                              <w:proofErr w:type="spellEnd"/>
                              <w:r w:rsidRPr="006A6152">
                                <w:rPr>
                                  <w:rFonts w:ascii="Arial" w:eastAsia="Times New Roman" w:hAnsi="Arial" w:cs="Arial"/>
                                  <w:i/>
                                  <w:iCs/>
                                  <w:color w:val="414141"/>
                                  <w:sz w:val="21"/>
                                  <w:szCs w:val="21"/>
                                  <w:lang w:eastAsia="en-AU"/>
                                </w:rPr>
                                <w:t xml:space="preserve"> 3</w:t>
                              </w:r>
                              <w:r w:rsidRPr="006A6152">
                                <w:rPr>
                                  <w:rFonts w:ascii="Arial" w:eastAsia="Times New Roman" w:hAnsi="Arial" w:cs="Arial"/>
                                  <w:color w:val="414141"/>
                                  <w:sz w:val="21"/>
                                  <w:szCs w:val="21"/>
                                  <w:lang w:eastAsia="en-AU"/>
                                </w:rPr>
                                <w:t> and </w:t>
                              </w:r>
                              <w:r w:rsidRPr="006A6152">
                                <w:rPr>
                                  <w:rFonts w:ascii="Arial" w:eastAsia="Times New Roman" w:hAnsi="Arial" w:cs="Arial"/>
                                  <w:i/>
                                  <w:iCs/>
                                  <w:color w:val="414141"/>
                                  <w:sz w:val="21"/>
                                  <w:szCs w:val="21"/>
                                  <w:lang w:eastAsia="en-AU"/>
                                </w:rPr>
                                <w:t>s5A</w:t>
                              </w:r>
                              <w:r w:rsidRPr="006A6152">
                                <w:rPr>
                                  <w:rFonts w:ascii="Arial" w:eastAsia="Times New Roman" w:hAnsi="Arial" w:cs="Arial"/>
                                  <w:color w:val="414141"/>
                                  <w:sz w:val="21"/>
                                  <w:szCs w:val="21"/>
                                  <w:lang w:eastAsia="en-AU"/>
                                </w:rPr>
                                <w:t> of the Act).</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Approval must be obtained by a non-exempt foreign person before signing a contract to purchase or, alternatively, sign a contract conditional upon FIRB approval being granted. The application for approval must be made to:</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r>
                              <w:r w:rsidRPr="006A6152">
                                <w:rPr>
                                  <w:rFonts w:ascii="Arial" w:eastAsia="Times New Roman" w:hAnsi="Arial" w:cs="Arial"/>
                                  <w:i/>
                                  <w:iCs/>
                                  <w:color w:val="414141"/>
                                  <w:sz w:val="21"/>
                                  <w:szCs w:val="21"/>
                                  <w:lang w:eastAsia="en-AU"/>
                                </w:rPr>
                                <w:t>The Executive Member,</w:t>
                              </w:r>
                              <w:r w:rsidRPr="006A6152">
                                <w:rPr>
                                  <w:rFonts w:ascii="Arial" w:eastAsia="Times New Roman" w:hAnsi="Arial" w:cs="Arial"/>
                                  <w:color w:val="414141"/>
                                  <w:sz w:val="21"/>
                                  <w:szCs w:val="21"/>
                                  <w:lang w:eastAsia="en-AU"/>
                                </w:rPr>
                                <w:br/>
                              </w:r>
                              <w:r w:rsidRPr="006A6152">
                                <w:rPr>
                                  <w:rFonts w:ascii="Arial" w:eastAsia="Times New Roman" w:hAnsi="Arial" w:cs="Arial"/>
                                  <w:i/>
                                  <w:iCs/>
                                  <w:color w:val="414141"/>
                                  <w:sz w:val="21"/>
                                  <w:szCs w:val="21"/>
                                  <w:lang w:eastAsia="en-AU"/>
                                </w:rPr>
                                <w:t>Foreign Investment Review Board,</w:t>
                              </w:r>
                              <w:r w:rsidRPr="006A6152">
                                <w:rPr>
                                  <w:rFonts w:ascii="Arial" w:eastAsia="Times New Roman" w:hAnsi="Arial" w:cs="Arial"/>
                                  <w:color w:val="414141"/>
                                  <w:sz w:val="21"/>
                                  <w:szCs w:val="21"/>
                                  <w:lang w:eastAsia="en-AU"/>
                                </w:rPr>
                                <w:br/>
                              </w:r>
                              <w:r w:rsidRPr="006A6152">
                                <w:rPr>
                                  <w:rFonts w:ascii="Arial" w:eastAsia="Times New Roman" w:hAnsi="Arial" w:cs="Arial"/>
                                  <w:i/>
                                  <w:iCs/>
                                  <w:color w:val="414141"/>
                                  <w:sz w:val="21"/>
                                  <w:szCs w:val="21"/>
                                  <w:lang w:eastAsia="en-AU"/>
                                </w:rPr>
                                <w:t>c/- The Treasury, Langton Crescent,</w:t>
                              </w:r>
                              <w:r w:rsidRPr="006A6152">
                                <w:rPr>
                                  <w:rFonts w:ascii="Arial" w:eastAsia="Times New Roman" w:hAnsi="Arial" w:cs="Arial"/>
                                  <w:i/>
                                  <w:iCs/>
                                  <w:color w:val="414141"/>
                                  <w:sz w:val="21"/>
                                  <w:szCs w:val="21"/>
                                  <w:lang w:eastAsia="en-AU"/>
                                </w:rPr>
                                <w:br/>
                                <w:t>Parkes, ACT, 2600; </w:t>
                              </w:r>
                              <w:r w:rsidRPr="006A6152">
                                <w:rPr>
                                  <w:rFonts w:ascii="Arial" w:eastAsia="Times New Roman" w:hAnsi="Arial" w:cs="Arial"/>
                                  <w:color w:val="414141"/>
                                  <w:sz w:val="21"/>
                                  <w:szCs w:val="21"/>
                                  <w:lang w:eastAsia="en-AU"/>
                                </w:rPr>
                                <w:br/>
                                <w:t>(Tel: 02 6263 2111 or 1800 020 008)</w:t>
                              </w:r>
                              <w:r w:rsidRPr="006A6152">
                                <w:rPr>
                                  <w:rFonts w:ascii="Arial" w:eastAsia="Times New Roman" w:hAnsi="Arial" w:cs="Arial"/>
                                  <w:color w:val="414141"/>
                                  <w:sz w:val="21"/>
                                  <w:szCs w:val="21"/>
                                  <w:lang w:eastAsia="en-AU"/>
                                </w:rPr>
                                <w:br/>
                                <w:t>and</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specify the particular property as the FIRB will not give in-principle approval.</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What may happen if a foreign person or an Australian company with foreign shareholders enters into a contract to purchase residential real estate without FIRB approval or without the contract being conditional on obtaining that approval? The experience of those who breach the rules is likely to be significantly more unpleasant than the “</w:t>
                              </w:r>
                              <w:r w:rsidRPr="006A6152">
                                <w:rPr>
                                  <w:rFonts w:ascii="Arial" w:eastAsia="Times New Roman" w:hAnsi="Arial" w:cs="Arial"/>
                                  <w:i/>
                                  <w:iCs/>
                                  <w:color w:val="414141"/>
                                  <w:sz w:val="21"/>
                                  <w:szCs w:val="21"/>
                                  <w:lang w:eastAsia="en-AU"/>
                                </w:rPr>
                                <w:t>flashy thing”</w:t>
                              </w:r>
                              <w:r w:rsidRPr="006A6152">
                                <w:rPr>
                                  <w:rFonts w:ascii="Arial" w:eastAsia="Times New Roman" w:hAnsi="Arial" w:cs="Arial"/>
                                  <w:color w:val="414141"/>
                                  <w:sz w:val="21"/>
                                  <w:szCs w:val="21"/>
                                  <w:lang w:eastAsia="en-AU"/>
                                </w:rPr>
                                <w:t> deployed by MIB.</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S21A empowers the </w:t>
                              </w:r>
                              <w:r w:rsidRPr="006A6152">
                                <w:rPr>
                                  <w:rFonts w:ascii="Arial" w:eastAsia="Times New Roman" w:hAnsi="Arial" w:cs="Arial"/>
                                  <w:i/>
                                  <w:iCs/>
                                  <w:color w:val="414141"/>
                                  <w:sz w:val="21"/>
                                  <w:szCs w:val="21"/>
                                  <w:lang w:eastAsia="en-AU"/>
                                </w:rPr>
                                <w:t>Treasurer, Mr Hockey, to make an order requiring the foreign person or company to “dispose</w:t>
                              </w:r>
                              <w:r w:rsidRPr="006A6152">
                                <w:rPr>
                                  <w:rFonts w:ascii="Arial" w:eastAsia="Times New Roman" w:hAnsi="Arial" w:cs="Arial"/>
                                  <w:color w:val="414141"/>
                                  <w:sz w:val="21"/>
                                  <w:szCs w:val="21"/>
                                  <w:lang w:eastAsia="en-AU"/>
                                </w:rPr>
                                <w:t>” of the real estate.</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The Tax Office is to look at shareholdings in Australian companies that own units in Australian urban land trusts and urban land and also at ownership structures to determine if real or beneficial owners are non-resident.</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Ms Dwyer stated on 9 May 2015 that an amnesty with reduced penalties is to run until 30 November 2015 for those who fess up and tell the Tax Office that they have breached the rules. Until 30 November, foreign buyers who had made “</w:t>
                              </w:r>
                              <w:r w:rsidRPr="006A6152">
                                <w:rPr>
                                  <w:rFonts w:ascii="Arial" w:eastAsia="Times New Roman" w:hAnsi="Arial" w:cs="Arial"/>
                                  <w:i/>
                                  <w:iCs/>
                                  <w:color w:val="414141"/>
                                  <w:sz w:val="21"/>
                                  <w:szCs w:val="21"/>
                                  <w:lang w:eastAsia="en-AU"/>
                                </w:rPr>
                                <w:t>inadvertent breaches</w:t>
                              </w:r>
                              <w:r w:rsidRPr="006A6152">
                                <w:rPr>
                                  <w:rFonts w:ascii="Arial" w:eastAsia="Times New Roman" w:hAnsi="Arial" w:cs="Arial"/>
                                  <w:color w:val="414141"/>
                                  <w:sz w:val="21"/>
                                  <w:szCs w:val="21"/>
                                  <w:lang w:eastAsia="en-AU"/>
                                </w:rPr>
                                <w:t xml:space="preserve">” would avoid being referred to the Commonwealth Director of Public Prosecutions for criminal prosecution and they could claim under the amnesty before proposed new laws come into </w:t>
                              </w:r>
                              <w:r w:rsidRPr="006A6152">
                                <w:rPr>
                                  <w:rFonts w:ascii="Arial" w:eastAsia="Times New Roman" w:hAnsi="Arial" w:cs="Arial"/>
                                  <w:color w:val="414141"/>
                                  <w:sz w:val="21"/>
                                  <w:szCs w:val="21"/>
                                  <w:lang w:eastAsia="en-AU"/>
                                </w:rPr>
                                <w:lastRenderedPageBreak/>
                                <w:t>effect.</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The new laws are, from 30 November 2015, to enable courts to:</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 impose prison sentences of up to</w:t>
                              </w:r>
                              <w:r w:rsidRPr="006A6152">
                                <w:rPr>
                                  <w:rFonts w:ascii="Arial" w:eastAsia="Times New Roman" w:hAnsi="Arial" w:cs="Arial"/>
                                  <w:i/>
                                  <w:iCs/>
                                  <w:color w:val="414141"/>
                                  <w:sz w:val="21"/>
                                  <w:szCs w:val="21"/>
                                  <w:lang w:eastAsia="en-AU"/>
                                </w:rPr>
                                <w:t> 3 years</w:t>
                              </w:r>
                              <w:r w:rsidRPr="006A6152">
                                <w:rPr>
                                  <w:rFonts w:ascii="Arial" w:eastAsia="Times New Roman" w:hAnsi="Arial" w:cs="Arial"/>
                                  <w:color w:val="414141"/>
                                  <w:sz w:val="21"/>
                                  <w:szCs w:val="21"/>
                                  <w:lang w:eastAsia="en-AU"/>
                                </w:rPr>
                                <w:t> and fines for individuals up to</w:t>
                              </w:r>
                              <w:r w:rsidRPr="006A6152">
                                <w:rPr>
                                  <w:rFonts w:ascii="Arial" w:eastAsia="Times New Roman" w:hAnsi="Arial" w:cs="Arial"/>
                                  <w:i/>
                                  <w:iCs/>
                                  <w:color w:val="414141"/>
                                  <w:sz w:val="21"/>
                                  <w:szCs w:val="21"/>
                                  <w:lang w:eastAsia="en-AU"/>
                                </w:rPr>
                                <w:t> $127,500</w:t>
                              </w:r>
                              <w:r w:rsidRPr="006A6152">
                                <w:rPr>
                                  <w:rFonts w:ascii="Arial" w:eastAsia="Times New Roman" w:hAnsi="Arial" w:cs="Arial"/>
                                  <w:color w:val="414141"/>
                                  <w:sz w:val="21"/>
                                  <w:szCs w:val="21"/>
                                  <w:lang w:eastAsia="en-AU"/>
                                </w:rPr>
                                <w:t> and</w:t>
                              </w:r>
                              <w:r w:rsidRPr="006A6152">
                                <w:rPr>
                                  <w:rFonts w:ascii="Arial" w:eastAsia="Times New Roman" w:hAnsi="Arial" w:cs="Arial"/>
                                  <w:i/>
                                  <w:iCs/>
                                  <w:color w:val="414141"/>
                                  <w:sz w:val="21"/>
                                  <w:szCs w:val="21"/>
                                  <w:lang w:eastAsia="en-AU"/>
                                </w:rPr>
                                <w:t>$637,500</w:t>
                              </w:r>
                              <w:r w:rsidRPr="006A6152">
                                <w:rPr>
                                  <w:rFonts w:ascii="Arial" w:eastAsia="Times New Roman" w:hAnsi="Arial" w:cs="Arial"/>
                                  <w:color w:val="414141"/>
                                  <w:sz w:val="21"/>
                                  <w:szCs w:val="21"/>
                                  <w:lang w:eastAsia="en-AU"/>
                                </w:rPr>
                                <w:t> for companies;</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-order sales </w:t>
                              </w:r>
                              <w:r w:rsidRPr="006A6152">
                                <w:rPr>
                                  <w:rFonts w:ascii="Arial" w:eastAsia="Times New Roman" w:hAnsi="Arial" w:cs="Arial"/>
                                  <w:i/>
                                  <w:iCs/>
                                  <w:color w:val="414141"/>
                                  <w:sz w:val="21"/>
                                  <w:szCs w:val="21"/>
                                  <w:lang w:eastAsia="en-AU"/>
                                </w:rPr>
                                <w:t>of real estate acquired without approval;</w:t>
                              </w:r>
                              <w:r w:rsidRPr="006A6152">
                                <w:rPr>
                                  <w:rFonts w:ascii="Arial" w:eastAsia="Times New Roman" w:hAnsi="Arial" w:cs="Arial"/>
                                  <w:i/>
                                  <w:iCs/>
                                  <w:color w:val="414141"/>
                                  <w:sz w:val="21"/>
                                  <w:szCs w:val="21"/>
                                  <w:lang w:eastAsia="en-AU"/>
                                </w:rPr>
                                <w:br/>
                                <w:t> </w:t>
                              </w:r>
                              <w:r w:rsidRPr="006A6152">
                                <w:rPr>
                                  <w:rFonts w:ascii="Arial" w:eastAsia="Times New Roman" w:hAnsi="Arial" w:cs="Arial"/>
                                  <w:color w:val="414141"/>
                                  <w:sz w:val="21"/>
                                  <w:szCs w:val="21"/>
                                  <w:lang w:eastAsia="en-AU"/>
                                </w:rPr>
                                <w:br/>
                                <w:t>-</w:t>
                              </w:r>
                              <w:r w:rsidRPr="006A6152">
                                <w:rPr>
                                  <w:rFonts w:ascii="Arial" w:eastAsia="Times New Roman" w:hAnsi="Arial" w:cs="Arial"/>
                                  <w:i/>
                                  <w:iCs/>
                                  <w:color w:val="414141"/>
                                  <w:sz w:val="21"/>
                                  <w:szCs w:val="21"/>
                                  <w:lang w:eastAsia="en-AU"/>
                                </w:rPr>
                                <w:t>confiscate capital gains</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Ms Dwyer said that those under investigation may not be aware that an investigation is underway and that those who have breached the Act should approach the Treasury or the Tax Office </w:t>
                              </w:r>
                              <w:r w:rsidRPr="006A6152">
                                <w:rPr>
                                  <w:rFonts w:ascii="Arial" w:eastAsia="Times New Roman" w:hAnsi="Arial" w:cs="Arial"/>
                                  <w:i/>
                                  <w:iCs/>
                                  <w:color w:val="414141"/>
                                  <w:sz w:val="21"/>
                                  <w:szCs w:val="21"/>
                                  <w:lang w:eastAsia="en-AU"/>
                                </w:rPr>
                                <w:t>“Before we get to them</w:t>
                              </w:r>
                              <w:r w:rsidRPr="006A6152">
                                <w:rPr>
                                  <w:rFonts w:ascii="Arial" w:eastAsia="Times New Roman" w:hAnsi="Arial" w:cs="Arial"/>
                                  <w:color w:val="414141"/>
                                  <w:sz w:val="21"/>
                                  <w:szCs w:val="21"/>
                                  <w:lang w:eastAsia="en-AU"/>
                                </w:rPr>
                                <w:t>”.</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Lawyers, accountants or real estate agents who knowingly assist in any such breaches will also face civil and criminal penalties including fines of $</w:t>
                              </w:r>
                              <w:r w:rsidRPr="006A6152">
                                <w:rPr>
                                  <w:rFonts w:ascii="Arial" w:eastAsia="Times New Roman" w:hAnsi="Arial" w:cs="Arial"/>
                                  <w:i/>
                                  <w:iCs/>
                                  <w:color w:val="414141"/>
                                  <w:sz w:val="21"/>
                                  <w:szCs w:val="21"/>
                                  <w:lang w:eastAsia="en-AU"/>
                                </w:rPr>
                                <w:t>42,500</w:t>
                              </w:r>
                              <w:r w:rsidRPr="006A6152">
                                <w:rPr>
                                  <w:rFonts w:ascii="Arial" w:eastAsia="Times New Roman" w:hAnsi="Arial" w:cs="Arial"/>
                                  <w:color w:val="414141"/>
                                  <w:sz w:val="21"/>
                                  <w:szCs w:val="21"/>
                                  <w:lang w:eastAsia="en-AU"/>
                                </w:rPr>
                                <w:t> for individuals and $</w:t>
                              </w:r>
                              <w:r w:rsidRPr="006A6152">
                                <w:rPr>
                                  <w:rFonts w:ascii="Arial" w:eastAsia="Times New Roman" w:hAnsi="Arial" w:cs="Arial"/>
                                  <w:i/>
                                  <w:iCs/>
                                  <w:color w:val="414141"/>
                                  <w:sz w:val="21"/>
                                  <w:szCs w:val="21"/>
                                  <w:lang w:eastAsia="en-AU"/>
                                </w:rPr>
                                <w:t>212,500</w:t>
                              </w:r>
                              <w:r w:rsidRPr="006A6152">
                                <w:rPr>
                                  <w:rFonts w:ascii="Arial" w:eastAsia="Times New Roman" w:hAnsi="Arial" w:cs="Arial"/>
                                  <w:color w:val="414141"/>
                                  <w:sz w:val="21"/>
                                  <w:szCs w:val="21"/>
                                  <w:lang w:eastAsia="en-AU"/>
                                </w:rPr>
                                <w:t> for breaches by corporate entities.</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The effect, if any, of these proposed new laws and enforcement of existing laws on the seemingly ratchet-like resilient Sydney housing market remains to be seen, although if the number of contemplated forced sales and confiscation of capital gains post-30 November 2015 is significant, some might think that downward pressure on prices could be a consequence. Could that be the </w:t>
                              </w:r>
                              <w:r w:rsidRPr="006A6152">
                                <w:rPr>
                                  <w:rFonts w:ascii="Arial" w:eastAsia="Times New Roman" w:hAnsi="Arial" w:cs="Arial"/>
                                  <w:i/>
                                  <w:iCs/>
                                  <w:color w:val="414141"/>
                                  <w:sz w:val="21"/>
                                  <w:szCs w:val="21"/>
                                  <w:lang w:eastAsia="en-AU"/>
                                </w:rPr>
                                <w:t>pin</w:t>
                              </w:r>
                              <w:r w:rsidRPr="006A6152">
                                <w:rPr>
                                  <w:rFonts w:ascii="Arial" w:eastAsia="Times New Roman" w:hAnsi="Arial" w:cs="Arial"/>
                                  <w:color w:val="414141"/>
                                  <w:sz w:val="21"/>
                                  <w:szCs w:val="21"/>
                                  <w:lang w:eastAsia="en-AU"/>
                                </w:rPr>
                                <w:t> to “</w:t>
                              </w:r>
                              <w:r w:rsidRPr="006A6152">
                                <w:rPr>
                                  <w:rFonts w:ascii="Arial" w:eastAsia="Times New Roman" w:hAnsi="Arial" w:cs="Arial"/>
                                  <w:i/>
                                  <w:iCs/>
                                  <w:color w:val="414141"/>
                                  <w:sz w:val="21"/>
                                  <w:szCs w:val="21"/>
                                  <w:lang w:eastAsia="en-AU"/>
                                </w:rPr>
                                <w:t>burst the bubble”?</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Accordingly, anyone fessing up to the Tax Office and selling real estate which required, but which did not receive, approval may wish to consider taking such action sooner rather than later.</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Even if you haven’t breached the rules, but are thinking of selling your home, you may wish to ensure that your sale contract contains a special condition requiring the purchaser to warrant that in the event that he or she is a foreign person as defined by the Act, all requirements with the Act have been observed and that any loss occasioned by a breach of that warranty will result in damages being payable by the purchaser to you the vendor.</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You may wish to read the government’s recent pronouncement at to its proposed changes to the legislation:</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r>
                              <w:hyperlink r:id="rId8" w:tgtFrame="_blank" w:history="1">
                                <w:r w:rsidRPr="006A6152">
                                  <w:rPr>
                                    <w:rFonts w:ascii="Arial" w:eastAsia="Times New Roman" w:hAnsi="Arial" w:cs="Arial"/>
                                    <w:color w:val="2A3994"/>
                                    <w:sz w:val="21"/>
                                    <w:szCs w:val="21"/>
                                    <w:u w:val="single"/>
                                    <w:lang w:eastAsia="en-AU"/>
                                  </w:rPr>
                                  <w:t>http://www.firb.gov.au/content/real_estate/compliance.asp?NavID=23</w:t>
                                </w:r>
                              </w:hyperlink>
                              <w:r w:rsidRPr="006A6152">
                                <w:rPr>
                                  <w:rFonts w:ascii="Arial" w:eastAsia="Times New Roman" w:hAnsi="Arial" w:cs="Arial"/>
                                  <w:color w:val="414141"/>
                                  <w:sz w:val="21"/>
                                  <w:szCs w:val="21"/>
                                  <w:lang w:eastAsia="en-AU"/>
                                </w:rPr>
                                <w:t>   </w:t>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t>If you find this article interesting you may also be interested in an article called </w:t>
                              </w:r>
                              <w:r w:rsidRPr="006A6152">
                                <w:rPr>
                                  <w:rFonts w:ascii="Arial" w:eastAsia="Times New Roman" w:hAnsi="Arial" w:cs="Arial"/>
                                  <w:i/>
                                  <w:iCs/>
                                  <w:color w:val="414141"/>
                                  <w:sz w:val="21"/>
                                  <w:szCs w:val="21"/>
                                  <w:lang w:eastAsia="en-AU"/>
                                </w:rPr>
                                <w:t>"How the $52m Altona sale dodged investment laws"</w:t>
                              </w:r>
                              <w:r w:rsidRPr="006A6152">
                                <w:rPr>
                                  <w:rFonts w:ascii="Arial" w:eastAsia="Times New Roman" w:hAnsi="Arial" w:cs="Arial"/>
                                  <w:color w:val="414141"/>
                                  <w:sz w:val="21"/>
                                  <w:szCs w:val="21"/>
                                  <w:lang w:eastAsia="en-AU"/>
                                </w:rPr>
                                <w:t xml:space="preserve">,  published in The Sydney Morning Herald on 4 June 2015 by Lucy </w:t>
                              </w:r>
                              <w:proofErr w:type="spellStart"/>
                              <w:r w:rsidRPr="006A6152">
                                <w:rPr>
                                  <w:rFonts w:ascii="Arial" w:eastAsia="Times New Roman" w:hAnsi="Arial" w:cs="Arial"/>
                                  <w:color w:val="414141"/>
                                  <w:sz w:val="21"/>
                                  <w:szCs w:val="21"/>
                                  <w:lang w:eastAsia="en-AU"/>
                                </w:rPr>
                                <w:t>Macken</w:t>
                              </w:r>
                              <w:proofErr w:type="spellEnd"/>
                              <w:r w:rsidRPr="006A6152">
                                <w:rPr>
                                  <w:rFonts w:ascii="Arial" w:eastAsia="Times New Roman" w:hAnsi="Arial" w:cs="Arial"/>
                                  <w:color w:val="414141"/>
                                  <w:sz w:val="21"/>
                                  <w:szCs w:val="21"/>
                                  <w:lang w:eastAsia="en-AU"/>
                                </w:rPr>
                                <w:t xml:space="preserve">, Philip Wen and John </w:t>
                              </w:r>
                              <w:proofErr w:type="spellStart"/>
                              <w:r w:rsidRPr="006A6152">
                                <w:rPr>
                                  <w:rFonts w:ascii="Arial" w:eastAsia="Times New Roman" w:hAnsi="Arial" w:cs="Arial"/>
                                  <w:color w:val="414141"/>
                                  <w:sz w:val="21"/>
                                  <w:szCs w:val="21"/>
                                  <w:lang w:eastAsia="en-AU"/>
                                </w:rPr>
                                <w:t>Garnaut</w:t>
                              </w:r>
                              <w:proofErr w:type="spellEnd"/>
                              <w:r w:rsidRPr="006A6152">
                                <w:rPr>
                                  <w:rFonts w:ascii="Arial" w:eastAsia="Times New Roman" w:hAnsi="Arial" w:cs="Arial"/>
                                  <w:color w:val="414141"/>
                                  <w:sz w:val="21"/>
                                  <w:szCs w:val="21"/>
                                  <w:lang w:eastAsia="en-AU"/>
                                </w:rPr>
                                <w:t>. A link to the online version can be found below: </w:t>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r>
                              <w:hyperlink r:id="rId9" w:history="1">
                                <w:r w:rsidRPr="006A6152">
                                  <w:rPr>
                                    <w:rFonts w:ascii="Arial" w:eastAsia="Times New Roman" w:hAnsi="Arial" w:cs="Arial"/>
                                    <w:color w:val="2A3994"/>
                                    <w:sz w:val="21"/>
                                    <w:szCs w:val="21"/>
                                    <w:u w:val="single"/>
                                    <w:lang w:eastAsia="en-AU"/>
                                  </w:rPr>
                                  <w:t>http://news.domain.com.au/domain/real-estate-news/point-pipers-altona-mansion-sale-dodged-foreign-investment-laws-20150603-ghfheb.html</w:t>
                                </w:r>
                              </w:hyperlink>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t> </w:t>
                              </w:r>
                            </w:p>
                          </w:tc>
                        </w:tr>
                      </w:tbl>
                      <w:p w:rsidR="006A6152" w:rsidRPr="006A6152" w:rsidRDefault="006A6152" w:rsidP="006A6152">
                        <w:pPr>
                          <w:spacing w:after="0" w:line="240" w:lineRule="auto"/>
                          <w:rPr>
                            <w:rFonts w:ascii="Times New Roman" w:eastAsia="Times New Roman" w:hAnsi="Times New Roman" w:cs="Times New Roman"/>
                            <w:sz w:val="24"/>
                            <w:szCs w:val="24"/>
                            <w:lang w:eastAsia="en-AU"/>
                          </w:rPr>
                        </w:pPr>
                      </w:p>
                    </w:tc>
                  </w:tr>
                  <w:tr w:rsidR="006A6152" w:rsidRPr="006A6152">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6A6152" w:rsidRPr="006A6152">
                          <w:tc>
                            <w:tcPr>
                              <w:tcW w:w="0" w:type="auto"/>
                              <w:hideMark/>
                            </w:tcPr>
                            <w:p w:rsidR="006A6152" w:rsidRPr="006A6152" w:rsidRDefault="006A6152" w:rsidP="006A6152">
                              <w:pPr>
                                <w:spacing w:after="0" w:line="240" w:lineRule="auto"/>
                                <w:rPr>
                                  <w:rFonts w:ascii="Times New Roman" w:eastAsia="Times New Roman" w:hAnsi="Times New Roman" w:cs="Times New Roman"/>
                                  <w:sz w:val="24"/>
                                  <w:szCs w:val="24"/>
                                  <w:lang w:eastAsia="en-AU"/>
                                </w:rPr>
                              </w:pPr>
                              <w:r w:rsidRPr="006A6152">
                                <w:rPr>
                                  <w:rFonts w:ascii="Times New Roman" w:eastAsia="Times New Roman" w:hAnsi="Times New Roman" w:cs="Times New Roman"/>
                                  <w:noProof/>
                                  <w:sz w:val="24"/>
                                  <w:szCs w:val="24"/>
                                  <w:lang w:eastAsia="en-AU"/>
                                </w:rPr>
                                <w:lastRenderedPageBreak/>
                                <w:drawing>
                                  <wp:inline distT="0" distB="0" distL="0" distR="0" wp14:anchorId="531238E8" wp14:editId="7D1E05ED">
                                    <wp:extent cx="4762500" cy="3171825"/>
                                    <wp:effectExtent l="0" t="0" r="0" b="9525"/>
                                    <wp:docPr id="3" name="Picture 3" descr="https://gallery.mailchimp.com/d7ac35d590989fce96f6014e9/images/5aa5ce40-5e6a-4633-b164-e93f63ce0b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d7ac35d590989fce96f6014e9/images/5aa5ce40-5e6a-4633-b164-e93f63ce0b1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tc>
                        </w:tr>
                      </w:tbl>
                      <w:p w:rsidR="006A6152" w:rsidRPr="006A6152" w:rsidRDefault="006A6152" w:rsidP="006A6152">
                        <w:pPr>
                          <w:spacing w:after="0" w:line="240" w:lineRule="auto"/>
                          <w:rPr>
                            <w:rFonts w:ascii="Times New Roman" w:eastAsia="Times New Roman" w:hAnsi="Times New Roman" w:cs="Times New Roman"/>
                            <w:sz w:val="24"/>
                            <w:szCs w:val="24"/>
                            <w:lang w:eastAsia="en-AU"/>
                          </w:rPr>
                        </w:pPr>
                      </w:p>
                    </w:tc>
                  </w:tr>
                  <w:tr w:rsidR="006A6152" w:rsidRPr="006A6152">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6A6152" w:rsidRPr="006A6152">
                          <w:tc>
                            <w:tcPr>
                              <w:tcW w:w="0" w:type="auto"/>
                              <w:hideMark/>
                            </w:tcPr>
                            <w:p w:rsidR="006A6152" w:rsidRPr="006A6152" w:rsidRDefault="006A6152" w:rsidP="006A6152">
                              <w:pPr>
                                <w:spacing w:after="0" w:line="240" w:lineRule="auto"/>
                                <w:rPr>
                                  <w:rFonts w:ascii="Times New Roman" w:eastAsia="Times New Roman" w:hAnsi="Times New Roman" w:cs="Times New Roman"/>
                                  <w:sz w:val="24"/>
                                  <w:szCs w:val="24"/>
                                  <w:lang w:eastAsia="en-AU"/>
                                </w:rPr>
                              </w:pPr>
                              <w:r w:rsidRPr="006A6152">
                                <w:rPr>
                                  <w:rFonts w:ascii="Times New Roman" w:eastAsia="Times New Roman" w:hAnsi="Times New Roman" w:cs="Times New Roman"/>
                                  <w:noProof/>
                                  <w:sz w:val="24"/>
                                  <w:szCs w:val="24"/>
                                  <w:lang w:eastAsia="en-AU"/>
                                </w:rPr>
                                <w:drawing>
                                  <wp:inline distT="0" distB="0" distL="0" distR="0" wp14:anchorId="0A7F092B" wp14:editId="468F793B">
                                    <wp:extent cx="9525" cy="9525"/>
                                    <wp:effectExtent l="0" t="0" r="0" b="0"/>
                                    <wp:docPr id="4" name="Picture 4" descr="http://gallery.mailchimp.com/653153ae841fd11de66ad181a/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allery.mailchimp.com/653153ae841fd11de66ad181a/images/transparen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A6152" w:rsidRPr="006A6152" w:rsidRDefault="006A6152" w:rsidP="006A6152">
                              <w:pPr>
                                <w:spacing w:after="150" w:line="510" w:lineRule="atLeast"/>
                                <w:outlineLvl w:val="0"/>
                                <w:rPr>
                                  <w:rFonts w:ascii="Arial" w:eastAsia="Times New Roman" w:hAnsi="Arial" w:cs="Arial"/>
                                  <w:color w:val="2A3994"/>
                                  <w:kern w:val="36"/>
                                  <w:sz w:val="51"/>
                                  <w:szCs w:val="51"/>
                                  <w:lang w:eastAsia="en-AU"/>
                                </w:rPr>
                              </w:pPr>
                              <w:r w:rsidRPr="006A6152">
                                <w:rPr>
                                  <w:rFonts w:ascii="Arial" w:eastAsia="Times New Roman" w:hAnsi="Arial" w:cs="Arial"/>
                                  <w:i/>
                                  <w:iCs/>
                                  <w:color w:val="000000"/>
                                  <w:kern w:val="36"/>
                                  <w:sz w:val="45"/>
                                  <w:szCs w:val="45"/>
                                  <w:u w:val="single"/>
                                  <w:lang w:eastAsia="en-AU"/>
                                </w:rPr>
                                <w:t>Guardianship Appointments</w:t>
                              </w:r>
                            </w:p>
                            <w:p w:rsidR="006A6152" w:rsidRPr="006A6152" w:rsidRDefault="006A6152" w:rsidP="006A6152">
                              <w:pPr>
                                <w:spacing w:after="150" w:line="390" w:lineRule="atLeast"/>
                                <w:outlineLvl w:val="2"/>
                                <w:rPr>
                                  <w:rFonts w:ascii="Arial" w:eastAsia="Times New Roman" w:hAnsi="Arial" w:cs="Arial"/>
                                  <w:color w:val="2A3994"/>
                                  <w:sz w:val="39"/>
                                  <w:szCs w:val="39"/>
                                  <w:lang w:eastAsia="en-AU"/>
                                </w:rPr>
                              </w:pPr>
                              <w:r w:rsidRPr="006A6152">
                                <w:rPr>
                                  <w:rFonts w:ascii="Arial" w:eastAsia="Times New Roman" w:hAnsi="Arial" w:cs="Arial"/>
                                  <w:i/>
                                  <w:iCs/>
                                  <w:color w:val="414141"/>
                                  <w:sz w:val="21"/>
                                  <w:szCs w:val="21"/>
                                  <w:u w:val="single"/>
                                  <w:lang w:eastAsia="en-AU"/>
                                </w:rPr>
                                <w:t>What is an Enduring Guardianship Appointment?</w:t>
                              </w:r>
                            </w:p>
                            <w:p w:rsidR="006A6152" w:rsidRPr="006A6152" w:rsidRDefault="006A6152" w:rsidP="006A6152">
                              <w:pPr>
                                <w:spacing w:after="0" w:line="315" w:lineRule="atLeast"/>
                                <w:rPr>
                                  <w:rFonts w:ascii="Arial" w:eastAsia="Times New Roman" w:hAnsi="Arial" w:cs="Arial"/>
                                  <w:color w:val="414141"/>
                                  <w:sz w:val="21"/>
                                  <w:szCs w:val="21"/>
                                  <w:lang w:eastAsia="en-AU"/>
                                </w:rPr>
                              </w:pPr>
                              <w:r w:rsidRPr="006A6152">
                                <w:rPr>
                                  <w:rFonts w:ascii="Arial" w:eastAsia="Times New Roman" w:hAnsi="Arial" w:cs="Arial"/>
                                  <w:color w:val="414141"/>
                                  <w:sz w:val="21"/>
                                  <w:szCs w:val="21"/>
                                  <w:lang w:eastAsia="en-AU"/>
                                </w:rPr>
                                <w:t>An enduring guardianship appointment is a document which allows you to appoint someone to make medical and/or lifestyle decisions for you in the event you lose capacity.  Their functions are set out under section 6E of </w:t>
                              </w:r>
                              <w:r w:rsidRPr="006A6152">
                                <w:rPr>
                                  <w:rFonts w:ascii="Arial" w:eastAsia="Times New Roman" w:hAnsi="Arial" w:cs="Arial"/>
                                  <w:i/>
                                  <w:iCs/>
                                  <w:color w:val="414141"/>
                                  <w:sz w:val="21"/>
                                  <w:szCs w:val="21"/>
                                  <w:lang w:eastAsia="en-AU"/>
                                </w:rPr>
                                <w:t>The Guardianship Act 1987NSW (“the Act”) </w:t>
                              </w:r>
                              <w:r w:rsidRPr="006A6152">
                                <w:rPr>
                                  <w:rFonts w:ascii="Arial" w:eastAsia="Times New Roman" w:hAnsi="Arial" w:cs="Arial"/>
                                  <w:color w:val="414141"/>
                                  <w:sz w:val="21"/>
                                  <w:szCs w:val="21"/>
                                  <w:lang w:eastAsia="en-AU"/>
                                </w:rPr>
                                <w:t>and include:</w:t>
                              </w:r>
                            </w:p>
                            <w:p w:rsidR="006A6152" w:rsidRPr="006A6152" w:rsidRDefault="006A6152" w:rsidP="006A6152">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sidRPr="006A6152">
                                <w:rPr>
                                  <w:rFonts w:ascii="Arial" w:eastAsia="Times New Roman" w:hAnsi="Arial" w:cs="Arial"/>
                                  <w:i/>
                                  <w:iCs/>
                                  <w:color w:val="414141"/>
                                  <w:sz w:val="21"/>
                                  <w:szCs w:val="21"/>
                                  <w:lang w:eastAsia="en-AU"/>
                                </w:rPr>
                                <w:lastRenderedPageBreak/>
                                <w:t>Deciding the place (such as a specific nursing home) in which you are to live;</w:t>
                              </w:r>
                            </w:p>
                            <w:p w:rsidR="006A6152" w:rsidRPr="006A6152" w:rsidRDefault="006A6152" w:rsidP="006A6152">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sidRPr="006A6152">
                                <w:rPr>
                                  <w:rFonts w:ascii="Arial" w:eastAsia="Times New Roman" w:hAnsi="Arial" w:cs="Arial"/>
                                  <w:i/>
                                  <w:iCs/>
                                  <w:color w:val="414141"/>
                                  <w:sz w:val="21"/>
                                  <w:szCs w:val="21"/>
                                  <w:lang w:eastAsia="en-AU"/>
                                </w:rPr>
                                <w:t>What health care you are to receive;</w:t>
                              </w:r>
                            </w:p>
                            <w:p w:rsidR="006A6152" w:rsidRPr="006A6152" w:rsidRDefault="006A6152" w:rsidP="006A6152">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sidRPr="006A6152">
                                <w:rPr>
                                  <w:rFonts w:ascii="Arial" w:eastAsia="Times New Roman" w:hAnsi="Arial" w:cs="Arial"/>
                                  <w:i/>
                                  <w:iCs/>
                                  <w:color w:val="414141"/>
                                  <w:sz w:val="21"/>
                                  <w:szCs w:val="21"/>
                                  <w:lang w:eastAsia="en-AU"/>
                                </w:rPr>
                                <w:t>What kinds of personal care you are to receive;</w:t>
                              </w:r>
                            </w:p>
                            <w:p w:rsidR="006A6152" w:rsidRPr="006A6152" w:rsidRDefault="006A6152" w:rsidP="006A6152">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sidRPr="006A6152">
                                <w:rPr>
                                  <w:rFonts w:ascii="Arial" w:eastAsia="Times New Roman" w:hAnsi="Arial" w:cs="Arial"/>
                                  <w:i/>
                                  <w:iCs/>
                                  <w:color w:val="414141"/>
                                  <w:sz w:val="21"/>
                                  <w:szCs w:val="21"/>
                                  <w:lang w:eastAsia="en-AU"/>
                                </w:rPr>
                                <w:t>Consenting to medical or dental treatment;</w:t>
                              </w:r>
                            </w:p>
                            <w:p w:rsidR="006A6152" w:rsidRPr="006A6152" w:rsidRDefault="006A6152" w:rsidP="006A6152">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sidRPr="006A6152">
                                <w:rPr>
                                  <w:rFonts w:ascii="Arial" w:eastAsia="Times New Roman" w:hAnsi="Arial" w:cs="Arial"/>
                                  <w:i/>
                                  <w:iCs/>
                                  <w:color w:val="414141"/>
                                  <w:sz w:val="21"/>
                                  <w:szCs w:val="21"/>
                                  <w:lang w:eastAsia="en-AU"/>
                                </w:rPr>
                                <w:t>Any other function specified in the document.</w:t>
                              </w:r>
                            </w:p>
                            <w:p w:rsidR="006A6152" w:rsidRPr="006A6152" w:rsidRDefault="006A6152" w:rsidP="006A6152">
                              <w:pPr>
                                <w:spacing w:after="0" w:line="315" w:lineRule="atLeast"/>
                                <w:rPr>
                                  <w:rFonts w:ascii="Arial" w:eastAsia="Times New Roman" w:hAnsi="Arial" w:cs="Arial"/>
                                  <w:color w:val="414141"/>
                                  <w:sz w:val="21"/>
                                  <w:szCs w:val="21"/>
                                  <w:lang w:eastAsia="en-AU"/>
                                </w:rPr>
                              </w:pPr>
                              <w:r w:rsidRPr="006A6152">
                                <w:rPr>
                                  <w:rFonts w:ascii="Arial" w:eastAsia="Times New Roman" w:hAnsi="Arial" w:cs="Arial"/>
                                  <w:color w:val="414141"/>
                                  <w:sz w:val="21"/>
                                  <w:szCs w:val="21"/>
                                  <w:lang w:eastAsia="en-AU"/>
                                </w:rPr>
                                <w:br/>
                              </w:r>
                              <w:r w:rsidRPr="006A6152">
                                <w:rPr>
                                  <w:rFonts w:ascii="Arial" w:eastAsia="Times New Roman" w:hAnsi="Arial" w:cs="Arial"/>
                                  <w:i/>
                                  <w:iCs/>
                                  <w:color w:val="414141"/>
                                  <w:sz w:val="21"/>
                                  <w:szCs w:val="21"/>
                                  <w:u w:val="single"/>
                                  <w:lang w:eastAsia="en-AU"/>
                                </w:rPr>
                                <w:t xml:space="preserve">I have </w:t>
                              </w:r>
                              <w:proofErr w:type="gramStart"/>
                              <w:r w:rsidRPr="006A6152">
                                <w:rPr>
                                  <w:rFonts w:ascii="Arial" w:eastAsia="Times New Roman" w:hAnsi="Arial" w:cs="Arial"/>
                                  <w:i/>
                                  <w:iCs/>
                                  <w:color w:val="414141"/>
                                  <w:sz w:val="21"/>
                                  <w:szCs w:val="21"/>
                                  <w:u w:val="single"/>
                                  <w:lang w:eastAsia="en-AU"/>
                                </w:rPr>
                                <w:t>an</w:t>
                              </w:r>
                              <w:proofErr w:type="gramEnd"/>
                              <w:r w:rsidRPr="006A6152">
                                <w:rPr>
                                  <w:rFonts w:ascii="Arial" w:eastAsia="Times New Roman" w:hAnsi="Arial" w:cs="Arial"/>
                                  <w:i/>
                                  <w:iCs/>
                                  <w:color w:val="414141"/>
                                  <w:sz w:val="21"/>
                                  <w:szCs w:val="21"/>
                                  <w:u w:val="single"/>
                                  <w:lang w:eastAsia="en-AU"/>
                                </w:rPr>
                                <w:t xml:space="preserve"> Power of Attorney, and so do I need to appoint an Enduring Guardian?</w:t>
                              </w:r>
                              <w:r w:rsidRPr="006A6152">
                                <w:rPr>
                                  <w:rFonts w:ascii="Arial" w:eastAsia="Times New Roman" w:hAnsi="Arial" w:cs="Arial"/>
                                  <w:color w:val="414141"/>
                                  <w:sz w:val="21"/>
                                  <w:szCs w:val="21"/>
                                  <w:lang w:eastAsia="en-AU"/>
                                </w:rPr>
                                <w:br/>
                                <w:t xml:space="preserve">A Power of Attorney appointment is complementary to </w:t>
                              </w:r>
                              <w:proofErr w:type="spellStart"/>
                              <w:proofErr w:type="gramStart"/>
                              <w:r w:rsidRPr="006A6152">
                                <w:rPr>
                                  <w:rFonts w:ascii="Arial" w:eastAsia="Times New Roman" w:hAnsi="Arial" w:cs="Arial"/>
                                  <w:color w:val="414141"/>
                                  <w:sz w:val="21"/>
                                  <w:szCs w:val="21"/>
                                  <w:lang w:eastAsia="en-AU"/>
                                </w:rPr>
                                <w:t>a</w:t>
                              </w:r>
                              <w:proofErr w:type="spellEnd"/>
                              <w:proofErr w:type="gramEnd"/>
                              <w:r w:rsidRPr="006A6152">
                                <w:rPr>
                                  <w:rFonts w:ascii="Arial" w:eastAsia="Times New Roman" w:hAnsi="Arial" w:cs="Arial"/>
                                  <w:color w:val="414141"/>
                                  <w:sz w:val="21"/>
                                  <w:szCs w:val="21"/>
                                  <w:lang w:eastAsia="en-AU"/>
                                </w:rPr>
                                <w:t xml:space="preserve"> enduring guardianship appointment.</w:t>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t>An Attorney can only make </w:t>
                              </w:r>
                              <w:r w:rsidRPr="006A6152">
                                <w:rPr>
                                  <w:rFonts w:ascii="Arial" w:eastAsia="Times New Roman" w:hAnsi="Arial" w:cs="Arial"/>
                                  <w:i/>
                                  <w:iCs/>
                                  <w:color w:val="414141"/>
                                  <w:sz w:val="21"/>
                                  <w:szCs w:val="21"/>
                                  <w:lang w:eastAsia="en-AU"/>
                                </w:rPr>
                                <w:t>financial decisions</w:t>
                              </w:r>
                              <w:r w:rsidRPr="006A6152">
                                <w:rPr>
                                  <w:rFonts w:ascii="Arial" w:eastAsia="Times New Roman" w:hAnsi="Arial" w:cs="Arial"/>
                                  <w:color w:val="414141"/>
                                  <w:sz w:val="21"/>
                                  <w:szCs w:val="21"/>
                                  <w:lang w:eastAsia="en-AU"/>
                                </w:rPr>
                                <w:t> on your behalf. They cannot make medical and/or lifestyle decisions for you.</w:t>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t>In the event that you do not appoint an Enduring Guardian and you lose the capacity to appoint one an application can be made to the Guardianship Division of NSW Civil and Administrative Tribunal (NCAT) to have one appointed for you.</w:t>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t>When it is impracticable to wait for a guardian to be appointed by NCAT, such as, when consent is required for a medical or dental treatment, section </w:t>
                              </w:r>
                              <w:r w:rsidRPr="006A6152">
                                <w:rPr>
                                  <w:rFonts w:ascii="Arial" w:eastAsia="Times New Roman" w:hAnsi="Arial" w:cs="Arial"/>
                                  <w:i/>
                                  <w:iCs/>
                                  <w:color w:val="414141"/>
                                  <w:sz w:val="21"/>
                                  <w:szCs w:val="21"/>
                                  <w:lang w:eastAsia="en-AU"/>
                                </w:rPr>
                                <w:t>36 of The Act </w:t>
                              </w:r>
                              <w:r w:rsidRPr="006A6152">
                                <w:rPr>
                                  <w:rFonts w:ascii="Arial" w:eastAsia="Times New Roman" w:hAnsi="Arial" w:cs="Arial"/>
                                  <w:color w:val="414141"/>
                                  <w:sz w:val="21"/>
                                  <w:szCs w:val="21"/>
                                  <w:lang w:eastAsia="en-AU"/>
                                </w:rPr>
                                <w:t>provides that, in addition to NCAT, the person responsible for you may give consent.  The person responsible is defined in the Act as a parent, child, guardian, spouse or possibly a close friend.</w:t>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t>Although it is worth remembering that there are some procedures which do not require consent</w:t>
                              </w:r>
                              <w:proofErr w:type="gramStart"/>
                              <w:r w:rsidRPr="006A6152">
                                <w:rPr>
                                  <w:rFonts w:ascii="Arial" w:eastAsia="Times New Roman" w:hAnsi="Arial" w:cs="Arial"/>
                                  <w:color w:val="414141"/>
                                  <w:sz w:val="21"/>
                                  <w:szCs w:val="21"/>
                                  <w:lang w:eastAsia="en-AU"/>
                                </w:rPr>
                                <w:t>  such</w:t>
                              </w:r>
                              <w:proofErr w:type="gramEnd"/>
                              <w:r w:rsidRPr="006A6152">
                                <w:rPr>
                                  <w:rFonts w:ascii="Arial" w:eastAsia="Times New Roman" w:hAnsi="Arial" w:cs="Arial"/>
                                  <w:color w:val="414141"/>
                                  <w:sz w:val="21"/>
                                  <w:szCs w:val="21"/>
                                  <w:lang w:eastAsia="en-AU"/>
                                </w:rPr>
                                <w:t xml:space="preserve"> as to save a patient’s life or prevent serious damage to the patient’s  </w:t>
                              </w:r>
                              <w:r w:rsidRPr="006A6152">
                                <w:rPr>
                                  <w:rFonts w:ascii="Arial" w:eastAsia="Times New Roman" w:hAnsi="Arial" w:cs="Arial"/>
                                  <w:i/>
                                  <w:iCs/>
                                  <w:color w:val="414141"/>
                                  <w:sz w:val="21"/>
                                  <w:szCs w:val="21"/>
                                  <w:lang w:eastAsia="en-AU"/>
                                </w:rPr>
                                <w:t>health (please see section 37 of the Act for a complete list).</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t> </w:t>
                              </w:r>
                              <w:r w:rsidRPr="006A6152">
                                <w:rPr>
                                  <w:rFonts w:ascii="Arial" w:eastAsia="Times New Roman" w:hAnsi="Arial" w:cs="Arial"/>
                                  <w:color w:val="414141"/>
                                  <w:sz w:val="21"/>
                                  <w:szCs w:val="21"/>
                                  <w:lang w:eastAsia="en-AU"/>
                                </w:rPr>
                                <w:br/>
                              </w:r>
                              <w:r w:rsidRPr="006A6152">
                                <w:rPr>
                                  <w:rFonts w:ascii="Arial" w:eastAsia="Times New Roman" w:hAnsi="Arial" w:cs="Arial"/>
                                  <w:i/>
                                  <w:iCs/>
                                  <w:color w:val="414141"/>
                                  <w:sz w:val="21"/>
                                  <w:szCs w:val="21"/>
                                  <w:u w:val="single"/>
                                  <w:lang w:eastAsia="en-AU"/>
                                </w:rPr>
                                <w:t>So Why Should I appoint an Enduring Guardian?</w:t>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t>An Enduring Guardianship appointment provides you with the certainty and comfort in knowing that if anything happens and you are no longer able to make decisions for yourself  you have appointed someone you trust to make those decisions for you.</w:t>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t>If you wish to discuss the making of an Enduring Guardianship Appointment please feel free to contact us on 02 9906 8188. </w:t>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t> </w:t>
                              </w:r>
                            </w:p>
                          </w:tc>
                        </w:tr>
                      </w:tbl>
                      <w:p w:rsidR="006A6152" w:rsidRPr="006A6152" w:rsidRDefault="006A6152" w:rsidP="006A6152">
                        <w:pPr>
                          <w:spacing w:after="0" w:line="240" w:lineRule="auto"/>
                          <w:rPr>
                            <w:rFonts w:ascii="Times New Roman" w:eastAsia="Times New Roman" w:hAnsi="Times New Roman" w:cs="Times New Roman"/>
                            <w:sz w:val="24"/>
                            <w:szCs w:val="24"/>
                            <w:lang w:eastAsia="en-AU"/>
                          </w:rPr>
                        </w:pPr>
                      </w:p>
                    </w:tc>
                  </w:tr>
                  <w:tr w:rsidR="006A6152" w:rsidRPr="006A6152">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6A6152" w:rsidRPr="006A6152">
                          <w:tc>
                            <w:tcPr>
                              <w:tcW w:w="0" w:type="auto"/>
                              <w:hideMark/>
                            </w:tcPr>
                            <w:p w:rsidR="006A6152" w:rsidRPr="006A6152" w:rsidRDefault="006A6152" w:rsidP="006A6152">
                              <w:pPr>
                                <w:spacing w:after="0" w:line="240" w:lineRule="auto"/>
                                <w:rPr>
                                  <w:rFonts w:ascii="Times New Roman" w:eastAsia="Times New Roman" w:hAnsi="Times New Roman" w:cs="Times New Roman"/>
                                  <w:sz w:val="24"/>
                                  <w:szCs w:val="24"/>
                                  <w:lang w:eastAsia="en-AU"/>
                                </w:rPr>
                              </w:pPr>
                              <w:r w:rsidRPr="006A6152">
                                <w:rPr>
                                  <w:rFonts w:ascii="Times New Roman" w:eastAsia="Times New Roman" w:hAnsi="Times New Roman" w:cs="Times New Roman"/>
                                  <w:noProof/>
                                  <w:sz w:val="24"/>
                                  <w:szCs w:val="24"/>
                                  <w:lang w:eastAsia="en-AU"/>
                                </w:rPr>
                                <w:lastRenderedPageBreak/>
                                <w:drawing>
                                  <wp:inline distT="0" distB="0" distL="0" distR="0" wp14:anchorId="1037FBE2" wp14:editId="4EC6D93A">
                                    <wp:extent cx="4762500" cy="3171825"/>
                                    <wp:effectExtent l="0" t="0" r="0" b="9525"/>
                                    <wp:docPr id="5" name="Picture 5" descr="https://gallery.mailchimp.com/d7ac35d590989fce96f6014e9/images/9065919b-644b-4e55-9b7c-976042315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d7ac35d590989fce96f6014e9/images/9065919b-644b-4e55-9b7c-97604231579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tc>
                        </w:tr>
                      </w:tbl>
                      <w:p w:rsidR="006A6152" w:rsidRPr="006A6152" w:rsidRDefault="006A6152" w:rsidP="006A6152">
                        <w:pPr>
                          <w:spacing w:after="0" w:line="240" w:lineRule="auto"/>
                          <w:rPr>
                            <w:rFonts w:ascii="Times New Roman" w:eastAsia="Times New Roman" w:hAnsi="Times New Roman" w:cs="Times New Roman"/>
                            <w:sz w:val="24"/>
                            <w:szCs w:val="24"/>
                            <w:lang w:eastAsia="en-AU"/>
                          </w:rPr>
                        </w:pPr>
                      </w:p>
                    </w:tc>
                  </w:tr>
                  <w:tr w:rsidR="006A6152" w:rsidRPr="006A6152">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6A6152" w:rsidRPr="006A6152">
                          <w:tc>
                            <w:tcPr>
                              <w:tcW w:w="0" w:type="auto"/>
                              <w:hideMark/>
                            </w:tcPr>
                            <w:p w:rsidR="006A6152" w:rsidRPr="006A6152" w:rsidRDefault="006A6152" w:rsidP="006A6152">
                              <w:pPr>
                                <w:spacing w:after="0" w:line="240" w:lineRule="auto"/>
                                <w:rPr>
                                  <w:rFonts w:ascii="Times New Roman" w:eastAsia="Times New Roman" w:hAnsi="Times New Roman" w:cs="Times New Roman"/>
                                  <w:sz w:val="24"/>
                                  <w:szCs w:val="24"/>
                                  <w:lang w:eastAsia="en-AU"/>
                                </w:rPr>
                              </w:pPr>
                              <w:r w:rsidRPr="006A6152">
                                <w:rPr>
                                  <w:rFonts w:ascii="Times New Roman" w:eastAsia="Times New Roman" w:hAnsi="Times New Roman" w:cs="Times New Roman"/>
                                  <w:noProof/>
                                  <w:sz w:val="24"/>
                                  <w:szCs w:val="24"/>
                                  <w:lang w:eastAsia="en-AU"/>
                                </w:rPr>
                                <w:drawing>
                                  <wp:inline distT="0" distB="0" distL="0" distR="0" wp14:anchorId="44CCEA3D" wp14:editId="04430985">
                                    <wp:extent cx="9525" cy="9525"/>
                                    <wp:effectExtent l="0" t="0" r="0" b="0"/>
                                    <wp:docPr id="6" name="Picture 6" descr="http://gallery.mailchimp.com/653153ae841fd11de66ad181a/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allery.mailchimp.com/653153ae841fd11de66ad181a/images/transparen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A6152" w:rsidRPr="006A6152" w:rsidRDefault="006A6152" w:rsidP="006A6152">
                              <w:pPr>
                                <w:spacing w:after="150" w:line="510" w:lineRule="atLeast"/>
                                <w:outlineLvl w:val="0"/>
                                <w:rPr>
                                  <w:rFonts w:ascii="Arial" w:eastAsia="Times New Roman" w:hAnsi="Arial" w:cs="Arial"/>
                                  <w:color w:val="2A3994"/>
                                  <w:kern w:val="36"/>
                                  <w:sz w:val="51"/>
                                  <w:szCs w:val="51"/>
                                  <w:lang w:eastAsia="en-AU"/>
                                </w:rPr>
                              </w:pPr>
                              <w:r w:rsidRPr="006A6152">
                                <w:rPr>
                                  <w:rFonts w:ascii="Arial" w:eastAsia="Times New Roman" w:hAnsi="Arial" w:cs="Arial"/>
                                  <w:color w:val="2A3994"/>
                                  <w:kern w:val="36"/>
                                  <w:sz w:val="51"/>
                                  <w:szCs w:val="51"/>
                                  <w:lang w:eastAsia="en-AU"/>
                                </w:rPr>
                                <w:t> </w:t>
                              </w:r>
                            </w:p>
                            <w:p w:rsidR="006A6152" w:rsidRPr="006A6152" w:rsidRDefault="006A6152" w:rsidP="006A6152">
                              <w:pPr>
                                <w:spacing w:after="150" w:line="450" w:lineRule="atLeast"/>
                                <w:outlineLvl w:val="1"/>
                                <w:rPr>
                                  <w:rFonts w:ascii="Arial" w:eastAsia="Times New Roman" w:hAnsi="Arial" w:cs="Arial"/>
                                  <w:color w:val="000000"/>
                                  <w:sz w:val="45"/>
                                  <w:szCs w:val="45"/>
                                  <w:lang w:eastAsia="en-AU"/>
                                </w:rPr>
                              </w:pPr>
                              <w:r w:rsidRPr="006A6152">
                                <w:rPr>
                                  <w:rFonts w:ascii="Arial" w:eastAsia="Times New Roman" w:hAnsi="Arial" w:cs="Arial"/>
                                  <w:i/>
                                  <w:iCs/>
                                  <w:color w:val="000000"/>
                                  <w:sz w:val="45"/>
                                  <w:szCs w:val="45"/>
                                  <w:u w:val="single"/>
                                  <w:lang w:eastAsia="en-AU"/>
                                </w:rPr>
                                <w:t>Tossers Beware</w:t>
                              </w:r>
                            </w:p>
                            <w:p w:rsidR="006A6152" w:rsidRPr="006A6152" w:rsidRDefault="006A6152" w:rsidP="006A6152">
                              <w:pPr>
                                <w:spacing w:after="0" w:line="315" w:lineRule="atLeast"/>
                                <w:rPr>
                                  <w:rFonts w:ascii="Arial" w:eastAsia="Times New Roman" w:hAnsi="Arial" w:cs="Arial"/>
                                  <w:color w:val="414141"/>
                                  <w:sz w:val="21"/>
                                  <w:szCs w:val="21"/>
                                  <w:lang w:eastAsia="en-AU"/>
                                </w:rPr>
                              </w:pPr>
                              <w:r w:rsidRPr="006A6152">
                                <w:rPr>
                                  <w:rFonts w:ascii="Arial" w:eastAsia="Times New Roman" w:hAnsi="Arial" w:cs="Arial"/>
                                  <w:color w:val="414141"/>
                                  <w:sz w:val="21"/>
                                  <w:szCs w:val="21"/>
                                  <w:lang w:eastAsia="en-AU"/>
                                </w:rPr>
                                <w:br/>
                                <w:t>When growing up I was always told that no one likes a dib-a-</w:t>
                              </w:r>
                              <w:proofErr w:type="spellStart"/>
                              <w:r w:rsidRPr="006A6152">
                                <w:rPr>
                                  <w:rFonts w:ascii="Arial" w:eastAsia="Times New Roman" w:hAnsi="Arial" w:cs="Arial"/>
                                  <w:color w:val="414141"/>
                                  <w:sz w:val="21"/>
                                  <w:szCs w:val="21"/>
                                  <w:lang w:eastAsia="en-AU"/>
                                </w:rPr>
                                <w:t>dobber</w:t>
                              </w:r>
                              <w:proofErr w:type="spellEnd"/>
                              <w:r w:rsidRPr="006A6152">
                                <w:rPr>
                                  <w:rFonts w:ascii="Arial" w:eastAsia="Times New Roman" w:hAnsi="Arial" w:cs="Arial"/>
                                  <w:color w:val="414141"/>
                                  <w:sz w:val="21"/>
                                  <w:szCs w:val="21"/>
                                  <w:lang w:eastAsia="en-AU"/>
                                </w:rPr>
                                <w:t>.</w:t>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t>Now, years later, it appears that the Government is encouraging us, more and more, to be dib-a-</w:t>
                              </w:r>
                              <w:proofErr w:type="spellStart"/>
                              <w:r w:rsidRPr="006A6152">
                                <w:rPr>
                                  <w:rFonts w:ascii="Arial" w:eastAsia="Times New Roman" w:hAnsi="Arial" w:cs="Arial"/>
                                  <w:color w:val="414141"/>
                                  <w:sz w:val="21"/>
                                  <w:szCs w:val="21"/>
                                  <w:lang w:eastAsia="en-AU"/>
                                </w:rPr>
                                <w:t>dobbers</w:t>
                              </w:r>
                              <w:proofErr w:type="spellEnd"/>
                              <w:r w:rsidRPr="006A6152">
                                <w:rPr>
                                  <w:rFonts w:ascii="Arial" w:eastAsia="Times New Roman" w:hAnsi="Arial" w:cs="Arial"/>
                                  <w:color w:val="414141"/>
                                  <w:sz w:val="21"/>
                                  <w:szCs w:val="21"/>
                                  <w:lang w:eastAsia="en-AU"/>
                                </w:rPr>
                                <w:t>. This is evident by their latest campaign </w:t>
                              </w:r>
                              <w:r w:rsidRPr="006A6152">
                                <w:rPr>
                                  <w:rFonts w:ascii="Arial" w:eastAsia="Times New Roman" w:hAnsi="Arial" w:cs="Arial"/>
                                  <w:i/>
                                  <w:iCs/>
                                  <w:color w:val="414141"/>
                                  <w:sz w:val="21"/>
                                  <w:szCs w:val="21"/>
                                  <w:lang w:eastAsia="en-AU"/>
                                </w:rPr>
                                <w:t>“dob-in a tosser”</w:t>
                              </w:r>
                              <w:r w:rsidRPr="006A6152">
                                <w:rPr>
                                  <w:rFonts w:ascii="Arial" w:eastAsia="Times New Roman" w:hAnsi="Arial" w:cs="Arial"/>
                                  <w:color w:val="414141"/>
                                  <w:sz w:val="21"/>
                                  <w:szCs w:val="21"/>
                                  <w:lang w:eastAsia="en-AU"/>
                                </w:rPr>
                                <w:t> in an attempt to curb littering.</w:t>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t>Is it just me, or is this a little "</w:t>
                              </w:r>
                              <w:r w:rsidRPr="006A6152">
                                <w:rPr>
                                  <w:rFonts w:ascii="Arial" w:eastAsia="Times New Roman" w:hAnsi="Arial" w:cs="Arial"/>
                                  <w:i/>
                                  <w:iCs/>
                                  <w:color w:val="414141"/>
                                  <w:sz w:val="21"/>
                                  <w:szCs w:val="21"/>
                                  <w:lang w:eastAsia="en-AU"/>
                                </w:rPr>
                                <w:t>un-Australian</w:t>
                              </w:r>
                              <w:r w:rsidRPr="006A6152">
                                <w:rPr>
                                  <w:rFonts w:ascii="Arial" w:eastAsia="Times New Roman" w:hAnsi="Arial" w:cs="Arial"/>
                                  <w:color w:val="414141"/>
                                  <w:sz w:val="21"/>
                                  <w:szCs w:val="21"/>
                                  <w:lang w:eastAsia="en-AU"/>
                                </w:rPr>
                                <w:t>"?</w:t>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t>As of 1 March 2015, members of the public are able to, with ease, dob-in ‘tossers’ to the New South Wales Environmental Protection Authority (</w:t>
                              </w:r>
                              <w:r w:rsidRPr="006A6152">
                                <w:rPr>
                                  <w:rFonts w:ascii="Arial" w:eastAsia="Times New Roman" w:hAnsi="Arial" w:cs="Arial"/>
                                  <w:i/>
                                  <w:iCs/>
                                  <w:color w:val="414141"/>
                                  <w:sz w:val="21"/>
                                  <w:szCs w:val="21"/>
                                  <w:lang w:eastAsia="en-AU"/>
                                </w:rPr>
                                <w:t>“EPA”</w:t>
                              </w:r>
                              <w:r w:rsidRPr="006A6152">
                                <w:rPr>
                                  <w:rFonts w:ascii="Arial" w:eastAsia="Times New Roman" w:hAnsi="Arial" w:cs="Arial"/>
                                  <w:color w:val="414141"/>
                                  <w:sz w:val="21"/>
                                  <w:szCs w:val="21"/>
                                  <w:lang w:eastAsia="en-AU"/>
                                </w:rPr>
                                <w:t>) for littering.</w:t>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t>Now, concerned members of public have always been able to contact the EPA and provide them with details of people who litter. The EPA was then able to, based upon those “tips”, issue warning letters to those people.  However, they were not able to issue fines based solely upon the ‘tip’. Only a report from enforcement staff, such as police and council, could lead to a fine being issued.</w:t>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t xml:space="preserve">However, this has now changed. From 1 March 2015, fines can be issued from people </w:t>
                              </w:r>
                              <w:r w:rsidRPr="006A6152">
                                <w:rPr>
                                  <w:rFonts w:ascii="Arial" w:eastAsia="Times New Roman" w:hAnsi="Arial" w:cs="Arial"/>
                                  <w:color w:val="414141"/>
                                  <w:sz w:val="21"/>
                                  <w:szCs w:val="21"/>
                                  <w:lang w:eastAsia="en-AU"/>
                                </w:rPr>
                                <w:lastRenderedPageBreak/>
                                <w:t>“dobbing-in a tosser”.  Motorist driving a private vehicle  are now able to be fined up to $250 with motorists driving a company vehicles being fined up to $500 </w:t>
                              </w:r>
                              <w:r w:rsidRPr="006A6152">
                                <w:rPr>
                                  <w:rFonts w:ascii="Arial" w:eastAsia="Times New Roman" w:hAnsi="Arial" w:cs="Arial"/>
                                  <w:i/>
                                  <w:iCs/>
                                  <w:color w:val="414141"/>
                                  <w:sz w:val="21"/>
                                  <w:szCs w:val="21"/>
                                  <w:lang w:eastAsia="en-AU"/>
                                </w:rPr>
                                <w:t>(note that there aggravated circumstances where a larger fine may be issued, such as, dispensing a lit cigarette during a total fire ban).</w:t>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r>
                              <w:r w:rsidRPr="006A6152">
                                <w:rPr>
                                  <w:rFonts w:ascii="Arial" w:eastAsia="Times New Roman" w:hAnsi="Arial" w:cs="Arial"/>
                                  <w:i/>
                                  <w:iCs/>
                                  <w:color w:val="414141"/>
                                  <w:sz w:val="21"/>
                                  <w:szCs w:val="21"/>
                                  <w:u w:val="single"/>
                                  <w:lang w:eastAsia="en-AU"/>
                                </w:rPr>
                                <w:t>So how does one dob-in a tosser?</w:t>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t>The EPA has, “for ease of dobbing”, developed an app which can be downloaded to your smart phone and after registering in their system and accepting the EPA’s terms and conditions you are able to begin dobbing in tossers. Provided that you:</w:t>
                              </w:r>
                            </w:p>
                            <w:p w:rsidR="006A6152" w:rsidRPr="006A6152" w:rsidRDefault="006A6152" w:rsidP="006A6152">
                              <w:pPr>
                                <w:numPr>
                                  <w:ilvl w:val="0"/>
                                  <w:numId w:val="2"/>
                                </w:numPr>
                                <w:spacing w:before="100" w:beforeAutospacing="1" w:after="100" w:afterAutospacing="1" w:line="315" w:lineRule="atLeast"/>
                                <w:rPr>
                                  <w:rFonts w:ascii="Arial" w:eastAsia="Times New Roman" w:hAnsi="Arial" w:cs="Arial"/>
                                  <w:color w:val="414141"/>
                                  <w:sz w:val="21"/>
                                  <w:szCs w:val="21"/>
                                  <w:lang w:eastAsia="en-AU"/>
                                </w:rPr>
                              </w:pPr>
                              <w:r w:rsidRPr="006A6152">
                                <w:rPr>
                                  <w:rFonts w:ascii="Arial" w:eastAsia="Times New Roman" w:hAnsi="Arial" w:cs="Arial"/>
                                  <w:color w:val="414141"/>
                                  <w:sz w:val="21"/>
                                  <w:szCs w:val="21"/>
                                  <w:lang w:eastAsia="en-AU"/>
                                </w:rPr>
                                <w:t>observed the litter being discarded or blown from the vehicle;</w:t>
                              </w:r>
                            </w:p>
                            <w:p w:rsidR="006A6152" w:rsidRPr="006A6152" w:rsidRDefault="006A6152" w:rsidP="006A6152">
                              <w:pPr>
                                <w:numPr>
                                  <w:ilvl w:val="0"/>
                                  <w:numId w:val="2"/>
                                </w:numPr>
                                <w:spacing w:before="100" w:beforeAutospacing="1" w:after="100" w:afterAutospacing="1" w:line="315" w:lineRule="atLeast"/>
                                <w:rPr>
                                  <w:rFonts w:ascii="Arial" w:eastAsia="Times New Roman" w:hAnsi="Arial" w:cs="Arial"/>
                                  <w:color w:val="414141"/>
                                  <w:sz w:val="21"/>
                                  <w:szCs w:val="21"/>
                                  <w:lang w:eastAsia="en-AU"/>
                                </w:rPr>
                              </w:pPr>
                              <w:r w:rsidRPr="006A6152">
                                <w:rPr>
                                  <w:rFonts w:ascii="Arial" w:eastAsia="Times New Roman" w:hAnsi="Arial" w:cs="Arial"/>
                                  <w:color w:val="414141"/>
                                  <w:sz w:val="21"/>
                                  <w:szCs w:val="21"/>
                                  <w:lang w:eastAsia="en-AU"/>
                                </w:rPr>
                                <w:t>report the incident within 14 days;</w:t>
                              </w:r>
                            </w:p>
                            <w:p w:rsidR="006A6152" w:rsidRPr="006A6152" w:rsidRDefault="006A6152" w:rsidP="006A6152">
                              <w:pPr>
                                <w:numPr>
                                  <w:ilvl w:val="0"/>
                                  <w:numId w:val="2"/>
                                </w:numPr>
                                <w:spacing w:before="100" w:beforeAutospacing="1" w:after="100" w:afterAutospacing="1" w:line="315" w:lineRule="atLeast"/>
                                <w:rPr>
                                  <w:rFonts w:ascii="Arial" w:eastAsia="Times New Roman" w:hAnsi="Arial" w:cs="Arial"/>
                                  <w:color w:val="414141"/>
                                  <w:sz w:val="21"/>
                                  <w:szCs w:val="21"/>
                                  <w:lang w:eastAsia="en-AU"/>
                                </w:rPr>
                              </w:pPr>
                              <w:proofErr w:type="gramStart"/>
                              <w:r w:rsidRPr="006A6152">
                                <w:rPr>
                                  <w:rFonts w:ascii="Arial" w:eastAsia="Times New Roman" w:hAnsi="Arial" w:cs="Arial"/>
                                  <w:color w:val="414141"/>
                                  <w:sz w:val="21"/>
                                  <w:szCs w:val="21"/>
                                  <w:lang w:eastAsia="en-AU"/>
                                </w:rPr>
                                <w:t>provide</w:t>
                              </w:r>
                              <w:proofErr w:type="gramEnd"/>
                              <w:r w:rsidRPr="006A6152">
                                <w:rPr>
                                  <w:rFonts w:ascii="Arial" w:eastAsia="Times New Roman" w:hAnsi="Arial" w:cs="Arial"/>
                                  <w:color w:val="414141"/>
                                  <w:sz w:val="21"/>
                                  <w:szCs w:val="21"/>
                                  <w:lang w:eastAsia="en-AU"/>
                                </w:rPr>
                                <w:t xml:space="preserve"> the registration No.  of the vehicle and the State of registration;</w:t>
                              </w:r>
                            </w:p>
                            <w:p w:rsidR="006A6152" w:rsidRPr="006A6152" w:rsidRDefault="006A6152" w:rsidP="006A6152">
                              <w:pPr>
                                <w:numPr>
                                  <w:ilvl w:val="0"/>
                                  <w:numId w:val="2"/>
                                </w:numPr>
                                <w:spacing w:before="100" w:beforeAutospacing="1" w:after="100" w:afterAutospacing="1" w:line="315" w:lineRule="atLeast"/>
                                <w:rPr>
                                  <w:rFonts w:ascii="Arial" w:eastAsia="Times New Roman" w:hAnsi="Arial" w:cs="Arial"/>
                                  <w:color w:val="414141"/>
                                  <w:sz w:val="21"/>
                                  <w:szCs w:val="21"/>
                                  <w:lang w:eastAsia="en-AU"/>
                                </w:rPr>
                              </w:pPr>
                              <w:r w:rsidRPr="006A6152">
                                <w:rPr>
                                  <w:rFonts w:ascii="Arial" w:eastAsia="Times New Roman" w:hAnsi="Arial" w:cs="Arial"/>
                                  <w:color w:val="414141"/>
                                  <w:sz w:val="21"/>
                                  <w:szCs w:val="21"/>
                                  <w:lang w:eastAsia="en-AU"/>
                                </w:rPr>
                                <w:t>provide the location;</w:t>
                              </w:r>
                            </w:p>
                            <w:p w:rsidR="006A6152" w:rsidRPr="006A6152" w:rsidRDefault="006A6152" w:rsidP="006A6152">
                              <w:pPr>
                                <w:numPr>
                                  <w:ilvl w:val="0"/>
                                  <w:numId w:val="2"/>
                                </w:numPr>
                                <w:spacing w:before="100" w:beforeAutospacing="1" w:after="100" w:afterAutospacing="1" w:line="315" w:lineRule="atLeast"/>
                                <w:rPr>
                                  <w:rFonts w:ascii="Arial" w:eastAsia="Times New Roman" w:hAnsi="Arial" w:cs="Arial"/>
                                  <w:color w:val="414141"/>
                                  <w:sz w:val="21"/>
                                  <w:szCs w:val="21"/>
                                  <w:lang w:eastAsia="en-AU"/>
                                </w:rPr>
                              </w:pPr>
                              <w:r w:rsidRPr="006A6152">
                                <w:rPr>
                                  <w:rFonts w:ascii="Arial" w:eastAsia="Times New Roman" w:hAnsi="Arial" w:cs="Arial"/>
                                  <w:color w:val="414141"/>
                                  <w:sz w:val="21"/>
                                  <w:szCs w:val="21"/>
                                  <w:lang w:eastAsia="en-AU"/>
                                </w:rPr>
                                <w:t>provide the date and time; and</w:t>
                              </w:r>
                            </w:p>
                            <w:p w:rsidR="006A6152" w:rsidRPr="006A6152" w:rsidRDefault="006A6152" w:rsidP="006A6152">
                              <w:pPr>
                                <w:numPr>
                                  <w:ilvl w:val="0"/>
                                  <w:numId w:val="2"/>
                                </w:numPr>
                                <w:spacing w:before="100" w:beforeAutospacing="1" w:after="100" w:afterAutospacing="1" w:line="315" w:lineRule="atLeast"/>
                                <w:rPr>
                                  <w:rFonts w:ascii="Arial" w:eastAsia="Times New Roman" w:hAnsi="Arial" w:cs="Arial"/>
                                  <w:color w:val="414141"/>
                                  <w:sz w:val="21"/>
                                  <w:szCs w:val="21"/>
                                  <w:lang w:eastAsia="en-AU"/>
                                </w:rPr>
                              </w:pPr>
                              <w:r w:rsidRPr="006A6152">
                                <w:rPr>
                                  <w:rFonts w:ascii="Arial" w:eastAsia="Times New Roman" w:hAnsi="Arial" w:cs="Arial"/>
                                  <w:color w:val="414141"/>
                                  <w:sz w:val="21"/>
                                  <w:szCs w:val="21"/>
                                  <w:lang w:eastAsia="en-AU"/>
                                </w:rPr>
                                <w:t>provide any other relevant details such as,  what type of litter, who it was that ejected the littler, male/ female , driver or passenger</w:t>
                              </w:r>
                            </w:p>
                            <w:p w:rsidR="006A6152" w:rsidRPr="006A6152" w:rsidRDefault="006A6152" w:rsidP="006A6152">
                              <w:pPr>
                                <w:spacing w:after="0" w:line="315" w:lineRule="atLeast"/>
                                <w:rPr>
                                  <w:rFonts w:ascii="Arial" w:eastAsia="Times New Roman" w:hAnsi="Arial" w:cs="Arial"/>
                                  <w:color w:val="414141"/>
                                  <w:sz w:val="21"/>
                                  <w:szCs w:val="21"/>
                                  <w:lang w:eastAsia="en-AU"/>
                                </w:rPr>
                              </w:pPr>
                              <w:r w:rsidRPr="006A6152">
                                <w:rPr>
                                  <w:rFonts w:ascii="Arial" w:eastAsia="Times New Roman" w:hAnsi="Arial" w:cs="Arial"/>
                                  <w:color w:val="414141"/>
                                  <w:sz w:val="21"/>
                                  <w:szCs w:val="21"/>
                                  <w:lang w:eastAsia="en-AU"/>
                                </w:rPr>
                                <w:t>The owner of the vehicle is liable to receive a penalty notice from the State Debt Recovery Office, imposing a fine. </w:t>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r>
                              <w:r w:rsidRPr="006A6152">
                                <w:rPr>
                                  <w:rFonts w:ascii="Arial" w:eastAsia="Times New Roman" w:hAnsi="Arial" w:cs="Arial"/>
                                  <w:i/>
                                  <w:iCs/>
                                  <w:color w:val="414141"/>
                                  <w:sz w:val="21"/>
                                  <w:szCs w:val="21"/>
                                  <w:u w:val="single"/>
                                  <w:lang w:eastAsia="en-AU"/>
                                </w:rPr>
                                <w:t>But what if you didn’t do it?</w:t>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t>The onus is upon </w:t>
                              </w:r>
                              <w:r w:rsidRPr="006A6152">
                                <w:rPr>
                                  <w:rFonts w:ascii="Arial" w:eastAsia="Times New Roman" w:hAnsi="Arial" w:cs="Arial"/>
                                  <w:i/>
                                  <w:iCs/>
                                  <w:color w:val="414141"/>
                                  <w:sz w:val="21"/>
                                  <w:szCs w:val="21"/>
                                  <w:lang w:eastAsia="en-AU"/>
                                </w:rPr>
                                <w:t>you</w:t>
                              </w:r>
                              <w:r w:rsidRPr="006A6152">
                                <w:rPr>
                                  <w:rFonts w:ascii="Arial" w:eastAsia="Times New Roman" w:hAnsi="Arial" w:cs="Arial"/>
                                  <w:color w:val="414141"/>
                                  <w:sz w:val="21"/>
                                  <w:szCs w:val="21"/>
                                  <w:lang w:eastAsia="en-AU"/>
                                </w:rPr>
                                <w:t> to prove that you did not littler. In effect, you are guilty until you prove that you are innocent.</w:t>
                              </w:r>
                              <w:r w:rsidRPr="006A6152">
                                <w:rPr>
                                  <w:rFonts w:ascii="Arial" w:eastAsia="Times New Roman" w:hAnsi="Arial" w:cs="Arial"/>
                                  <w:color w:val="414141"/>
                                  <w:sz w:val="21"/>
                                  <w:szCs w:val="21"/>
                                  <w:lang w:eastAsia="en-AU"/>
                                </w:rPr>
                                <w:br/>
                              </w:r>
                              <w:r w:rsidRPr="006A6152">
                                <w:rPr>
                                  <w:rFonts w:ascii="Arial" w:eastAsia="Times New Roman" w:hAnsi="Arial" w:cs="Arial"/>
                                  <w:color w:val="414141"/>
                                  <w:sz w:val="21"/>
                                  <w:szCs w:val="21"/>
                                  <w:lang w:eastAsia="en-AU"/>
                                </w:rPr>
                                <w:br/>
                                <w:t>So Tossers beware! No place is a safe place to litter! </w:t>
                              </w:r>
                              <w:r w:rsidRPr="006A6152">
                                <w:rPr>
                                  <w:rFonts w:ascii="Arial" w:eastAsia="Times New Roman" w:hAnsi="Arial" w:cs="Arial"/>
                                  <w:color w:val="414141"/>
                                  <w:sz w:val="21"/>
                                  <w:szCs w:val="21"/>
                                  <w:lang w:eastAsia="en-AU"/>
                                </w:rPr>
                                <w:br/>
                                <w:t> </w:t>
                              </w:r>
                            </w:p>
                          </w:tc>
                        </w:tr>
                      </w:tbl>
                      <w:p w:rsidR="006A6152" w:rsidRPr="006A6152" w:rsidRDefault="006A6152" w:rsidP="006A6152">
                        <w:pPr>
                          <w:spacing w:after="0" w:line="240" w:lineRule="auto"/>
                          <w:rPr>
                            <w:rFonts w:ascii="Times New Roman" w:eastAsia="Times New Roman" w:hAnsi="Times New Roman" w:cs="Times New Roman"/>
                            <w:sz w:val="24"/>
                            <w:szCs w:val="24"/>
                            <w:lang w:eastAsia="en-AU"/>
                          </w:rPr>
                        </w:pPr>
                      </w:p>
                    </w:tc>
                  </w:tr>
                </w:tbl>
                <w:p w:rsidR="006A6152" w:rsidRPr="006A6152" w:rsidRDefault="006A6152" w:rsidP="006A6152">
                  <w:pPr>
                    <w:spacing w:after="0" w:line="240" w:lineRule="auto"/>
                    <w:rPr>
                      <w:rFonts w:ascii="Times New Roman" w:eastAsia="Times New Roman" w:hAnsi="Times New Roman" w:cs="Times New Roman"/>
                      <w:sz w:val="24"/>
                      <w:szCs w:val="24"/>
                      <w:lang w:eastAsia="en-AU"/>
                    </w:rPr>
                  </w:pPr>
                </w:p>
              </w:tc>
            </w:tr>
          </w:tbl>
          <w:p w:rsidR="006A6152" w:rsidRPr="006A6152" w:rsidRDefault="006A6152" w:rsidP="006A6152">
            <w:pPr>
              <w:spacing w:after="0" w:line="240" w:lineRule="auto"/>
              <w:jc w:val="center"/>
              <w:rPr>
                <w:rFonts w:ascii="Times New Roman" w:eastAsia="Times New Roman" w:hAnsi="Times New Roman" w:cs="Times New Roman"/>
                <w:color w:val="000000"/>
                <w:sz w:val="27"/>
                <w:szCs w:val="27"/>
                <w:lang w:eastAsia="en-AU"/>
              </w:rPr>
            </w:pPr>
          </w:p>
        </w:tc>
      </w:tr>
    </w:tbl>
    <w:p w:rsidR="00CF2E4D" w:rsidRDefault="00CF2E4D">
      <w:bookmarkStart w:id="0" w:name="_GoBack"/>
      <w:bookmarkEnd w:id="0"/>
    </w:p>
    <w:sectPr w:rsidR="00CF2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96EBC"/>
    <w:multiLevelType w:val="multilevel"/>
    <w:tmpl w:val="03902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683C0C"/>
    <w:multiLevelType w:val="multilevel"/>
    <w:tmpl w:val="C55294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52"/>
    <w:rsid w:val="006A6152"/>
    <w:rsid w:val="00CF2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1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1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78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b.gov.au/content/real_estate/compliance.asp?NavID=2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news.domain.com.au/domain/real-estate-news/point-pipers-altona-mansion-sale-dodged-foreign-investment-laws-20150603-ghfhe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 Legal1</dc:creator>
  <cp:lastModifiedBy>Para Legal1</cp:lastModifiedBy>
  <cp:revision>1</cp:revision>
  <dcterms:created xsi:type="dcterms:W3CDTF">2016-08-23T01:18:00Z</dcterms:created>
  <dcterms:modified xsi:type="dcterms:W3CDTF">2016-08-23T01:19:00Z</dcterms:modified>
</cp:coreProperties>
</file>