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5B61E9" w:rsidRPr="005B61E9" w:rsidTr="005B61E9">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B61E9" w:rsidRPr="005B61E9">
              <w:trPr>
                <w:jc w:val="center"/>
              </w:trPr>
              <w:tc>
                <w:tcPr>
                  <w:tcW w:w="0" w:type="auto"/>
                  <w:shd w:val="clear" w:color="auto" w:fill="FFFFFF"/>
                  <w:vAlign w:val="center"/>
                  <w:hideMark/>
                </w:tcPr>
                <w:p w:rsidR="005B61E9" w:rsidRPr="005B61E9" w:rsidRDefault="005B61E9" w:rsidP="005B61E9">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2" name="Picture 2"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5B61E9" w:rsidRPr="005B61E9" w:rsidRDefault="005B61E9" w:rsidP="005B61E9">
            <w:pPr>
              <w:spacing w:after="0" w:line="240" w:lineRule="auto"/>
              <w:jc w:val="center"/>
              <w:rPr>
                <w:rFonts w:ascii="Times New Roman" w:eastAsia="Times New Roman" w:hAnsi="Times New Roman" w:cs="Times New Roman"/>
                <w:color w:val="000000"/>
                <w:sz w:val="27"/>
                <w:szCs w:val="27"/>
                <w:lang w:eastAsia="en-AU"/>
              </w:rPr>
            </w:pPr>
          </w:p>
        </w:tc>
      </w:tr>
      <w:tr w:rsidR="005B61E9" w:rsidRPr="005B61E9" w:rsidTr="005B61E9">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B61E9" w:rsidRPr="005B61E9">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B61E9" w:rsidRPr="005B61E9">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5B61E9" w:rsidRPr="005B61E9">
                          <w:tc>
                            <w:tcPr>
                              <w:tcW w:w="0" w:type="auto"/>
                              <w:hideMark/>
                            </w:tcPr>
                            <w:p w:rsidR="005B61E9" w:rsidRPr="005B61E9" w:rsidRDefault="005B61E9" w:rsidP="005B61E9">
                              <w:pPr>
                                <w:spacing w:after="150" w:line="510" w:lineRule="atLeast"/>
                                <w:outlineLvl w:val="0"/>
                                <w:rPr>
                                  <w:rFonts w:ascii="Arial" w:eastAsia="Times New Roman" w:hAnsi="Arial" w:cs="Arial"/>
                                  <w:color w:val="2A3994"/>
                                  <w:kern w:val="36"/>
                                  <w:sz w:val="51"/>
                                  <w:szCs w:val="51"/>
                                  <w:lang w:eastAsia="en-AU"/>
                                </w:rPr>
                              </w:pPr>
                              <w:r w:rsidRPr="005B61E9">
                                <w:rPr>
                                  <w:rFonts w:ascii="Arial" w:eastAsia="Times New Roman" w:hAnsi="Arial" w:cs="Arial"/>
                                  <w:color w:val="2A3994"/>
                                  <w:kern w:val="36"/>
                                  <w:sz w:val="51"/>
                                  <w:szCs w:val="51"/>
                                  <w:lang w:eastAsia="en-AU"/>
                                </w:rPr>
                                <w:t>March 2016 Newsletter</w:t>
                              </w:r>
                            </w:p>
                            <w:p w:rsidR="005B61E9" w:rsidRPr="005B61E9" w:rsidRDefault="005B61E9" w:rsidP="005B61E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238750" cy="3219450"/>
                                    <wp:effectExtent l="0" t="0" r="0" b="0"/>
                                    <wp:docPr id="1" name="Picture 1" descr="https://gallery.mailchimp.com/d7ac35d590989fce96f6014e9/images/5586f26d-804f-4d5c-8685-80c900036b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5586f26d-804f-4d5c-8685-80c900036b2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219450"/>
                                            </a:xfrm>
                                            <a:prstGeom prst="rect">
                                              <a:avLst/>
                                            </a:prstGeom>
                                            <a:noFill/>
                                            <a:ln>
                                              <a:noFill/>
                                            </a:ln>
                                          </pic:spPr>
                                        </pic:pic>
                                      </a:graphicData>
                                    </a:graphic>
                                  </wp:inline>
                                </w:drawing>
                              </w:r>
                            </w:p>
                            <w:p w:rsidR="005B61E9" w:rsidRPr="005B61E9" w:rsidRDefault="005B61E9" w:rsidP="005B61E9">
                              <w:pPr>
                                <w:spacing w:after="150" w:line="510" w:lineRule="atLeast"/>
                                <w:outlineLvl w:val="0"/>
                                <w:rPr>
                                  <w:rFonts w:ascii="Arial" w:eastAsia="Times New Roman" w:hAnsi="Arial" w:cs="Arial"/>
                                  <w:color w:val="2A3994"/>
                                  <w:kern w:val="36"/>
                                  <w:sz w:val="51"/>
                                  <w:szCs w:val="51"/>
                                  <w:lang w:eastAsia="en-AU"/>
                                </w:rPr>
                              </w:pPr>
                              <w:r w:rsidRPr="005B61E9">
                                <w:rPr>
                                  <w:rFonts w:ascii="Arial" w:eastAsia="Times New Roman" w:hAnsi="Arial" w:cs="Arial"/>
                                  <w:color w:val="2A3994"/>
                                  <w:kern w:val="36"/>
                                  <w:sz w:val="51"/>
                                  <w:szCs w:val="51"/>
                                  <w:lang w:eastAsia="en-AU"/>
                                </w:rPr>
                                <w:t> </w:t>
                              </w:r>
                            </w:p>
                            <w:p w:rsidR="005B61E9" w:rsidRPr="005B61E9" w:rsidRDefault="005B61E9" w:rsidP="005B61E9">
                              <w:pPr>
                                <w:spacing w:after="150" w:line="450" w:lineRule="atLeast"/>
                                <w:outlineLvl w:val="1"/>
                                <w:rPr>
                                  <w:rFonts w:ascii="Arial" w:eastAsia="Times New Roman" w:hAnsi="Arial" w:cs="Arial"/>
                                  <w:color w:val="000000"/>
                                  <w:sz w:val="45"/>
                                  <w:szCs w:val="45"/>
                                  <w:lang w:eastAsia="en-AU"/>
                                </w:rPr>
                              </w:pPr>
                              <w:r w:rsidRPr="005B61E9">
                                <w:rPr>
                                  <w:rFonts w:ascii="Arial" w:eastAsia="Times New Roman" w:hAnsi="Arial" w:cs="Arial"/>
                                  <w:color w:val="000000"/>
                                  <w:sz w:val="45"/>
                                  <w:szCs w:val="45"/>
                                  <w:lang w:eastAsia="en-AU"/>
                                </w:rPr>
                                <w:t>Insurance Policies - In What Circumstances Can An Insurer Refuse to Pay?</w:t>
                              </w:r>
                            </w:p>
                            <w:p w:rsidR="005B61E9" w:rsidRPr="005B61E9" w:rsidRDefault="005B61E9" w:rsidP="005B61E9">
                              <w:pPr>
                                <w:spacing w:after="150" w:line="390" w:lineRule="atLeast"/>
                                <w:outlineLvl w:val="2"/>
                                <w:rPr>
                                  <w:rFonts w:ascii="Arial" w:eastAsia="Times New Roman" w:hAnsi="Arial" w:cs="Arial"/>
                                  <w:color w:val="2A3994"/>
                                  <w:sz w:val="39"/>
                                  <w:szCs w:val="39"/>
                                  <w:lang w:eastAsia="en-AU"/>
                                </w:rPr>
                              </w:pPr>
                              <w:r w:rsidRPr="005B61E9">
                                <w:rPr>
                                  <w:rFonts w:ascii="Arial" w:eastAsia="Times New Roman" w:hAnsi="Arial" w:cs="Arial"/>
                                  <w:color w:val="414141"/>
                                  <w:sz w:val="21"/>
                                  <w:szCs w:val="21"/>
                                  <w:lang w:eastAsia="en-AU"/>
                                </w:rPr>
                                <w:t> </w:t>
                              </w:r>
                            </w:p>
                            <w:p w:rsidR="005B61E9" w:rsidRPr="005B61E9" w:rsidRDefault="005B61E9" w:rsidP="005B61E9">
                              <w:pPr>
                                <w:spacing w:after="0" w:line="315" w:lineRule="atLeast"/>
                                <w:rPr>
                                  <w:rFonts w:ascii="Arial" w:eastAsia="Times New Roman" w:hAnsi="Arial" w:cs="Arial"/>
                                  <w:color w:val="414141"/>
                                  <w:sz w:val="21"/>
                                  <w:szCs w:val="21"/>
                                  <w:lang w:eastAsia="en-AU"/>
                                </w:rPr>
                              </w:pPr>
                              <w:r w:rsidRPr="005B61E9">
                                <w:rPr>
                                  <w:rFonts w:ascii="Arial" w:eastAsia="Times New Roman" w:hAnsi="Arial" w:cs="Arial"/>
                                  <w:color w:val="414141"/>
                                  <w:sz w:val="21"/>
                                  <w:szCs w:val="21"/>
                                  <w:lang w:eastAsia="en-AU"/>
                                </w:rPr>
                                <w:t xml:space="preserve">Your car is waiting at traffic lights when another vehicle runs into the back of it. There’s a </w:t>
                              </w:r>
                              <w:r w:rsidRPr="005B61E9">
                                <w:rPr>
                                  <w:rFonts w:ascii="Arial" w:eastAsia="Times New Roman" w:hAnsi="Arial" w:cs="Arial"/>
                                  <w:color w:val="414141"/>
                                  <w:sz w:val="21"/>
                                  <w:szCs w:val="21"/>
                                  <w:lang w:eastAsia="en-AU"/>
                                </w:rPr>
                                <w:lastRenderedPageBreak/>
                                <w:t>lot of damage that is going to cost a lot to repair. Your insurer says they’re not paying for the damage because you had a bald tyre on your car when the accident occurred.</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Can they refuse to pay up? Should they?</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Before </w:t>
                              </w:r>
                              <w:r w:rsidRPr="005B61E9">
                                <w:rPr>
                                  <w:rFonts w:ascii="Arial" w:eastAsia="Times New Roman" w:hAnsi="Arial" w:cs="Arial"/>
                                  <w:i/>
                                  <w:iCs/>
                                  <w:color w:val="414141"/>
                                  <w:sz w:val="21"/>
                                  <w:szCs w:val="21"/>
                                  <w:lang w:eastAsia="en-AU"/>
                                </w:rPr>
                                <w:t>section 54</w:t>
                              </w:r>
                              <w:r w:rsidRPr="005B61E9">
                                <w:rPr>
                                  <w:rFonts w:ascii="Arial" w:eastAsia="Times New Roman" w:hAnsi="Arial" w:cs="Arial"/>
                                  <w:color w:val="414141"/>
                                  <w:sz w:val="21"/>
                                  <w:szCs w:val="21"/>
                                  <w:lang w:eastAsia="en-AU"/>
                                </w:rPr>
                                <w:t> of the </w:t>
                              </w:r>
                              <w:r w:rsidRPr="005B61E9">
                                <w:rPr>
                                  <w:rFonts w:ascii="Arial" w:eastAsia="Times New Roman" w:hAnsi="Arial" w:cs="Arial"/>
                                  <w:i/>
                                  <w:iCs/>
                                  <w:color w:val="414141"/>
                                  <w:sz w:val="21"/>
                                  <w:szCs w:val="21"/>
                                  <w:lang w:eastAsia="en-AU"/>
                                </w:rPr>
                                <w:t>Insurance Contracts Act 1984</w:t>
                              </w:r>
                              <w:r w:rsidRPr="005B61E9">
                                <w:rPr>
                                  <w:rFonts w:ascii="Arial" w:eastAsia="Times New Roman" w:hAnsi="Arial" w:cs="Arial"/>
                                  <w:color w:val="414141"/>
                                  <w:sz w:val="21"/>
                                  <w:szCs w:val="21"/>
                                  <w:lang w:eastAsia="en-AU"/>
                                </w:rPr>
                                <w:t> (Cth) came into effect in 1984, the answer to those questions was “</w:t>
                              </w:r>
                              <w:r w:rsidRPr="005B61E9">
                                <w:rPr>
                                  <w:rFonts w:ascii="Arial" w:eastAsia="Times New Roman" w:hAnsi="Arial" w:cs="Arial"/>
                                  <w:i/>
                                  <w:iCs/>
                                  <w:color w:val="414141"/>
                                  <w:sz w:val="21"/>
                                  <w:szCs w:val="21"/>
                                  <w:lang w:eastAsia="en-AU"/>
                                </w:rPr>
                                <w:t>quite possibly</w:t>
                              </w:r>
                              <w:r w:rsidRPr="005B61E9">
                                <w:rPr>
                                  <w:rFonts w:ascii="Arial" w:eastAsia="Times New Roman" w:hAnsi="Arial" w:cs="Arial"/>
                                  <w:color w:val="414141"/>
                                  <w:sz w:val="21"/>
                                  <w:szCs w:val="21"/>
                                  <w:lang w:eastAsia="en-AU"/>
                                </w:rPr>
                                <w:t>”.</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Would a refusal by an insurer to pay in such circumstances be a </w:t>
                              </w:r>
                              <w:r w:rsidRPr="005B61E9">
                                <w:rPr>
                                  <w:rFonts w:ascii="Arial" w:eastAsia="Times New Roman" w:hAnsi="Arial" w:cs="Arial"/>
                                  <w:i/>
                                  <w:iCs/>
                                  <w:color w:val="414141"/>
                                  <w:sz w:val="21"/>
                                  <w:szCs w:val="21"/>
                                  <w:lang w:eastAsia="en-AU"/>
                                </w:rPr>
                                <w:t>fair</w:t>
                              </w:r>
                              <w:r w:rsidRPr="005B61E9">
                                <w:rPr>
                                  <w:rFonts w:ascii="Arial" w:eastAsia="Times New Roman" w:hAnsi="Arial" w:cs="Arial"/>
                                  <w:color w:val="414141"/>
                                  <w:sz w:val="21"/>
                                  <w:szCs w:val="21"/>
                                  <w:lang w:eastAsia="en-AU"/>
                                </w:rPr>
                                <w:t> or </w:t>
                              </w:r>
                              <w:r w:rsidRPr="005B61E9">
                                <w:rPr>
                                  <w:rFonts w:ascii="Arial" w:eastAsia="Times New Roman" w:hAnsi="Arial" w:cs="Arial"/>
                                  <w:i/>
                                  <w:iCs/>
                                  <w:color w:val="414141"/>
                                  <w:sz w:val="21"/>
                                  <w:szCs w:val="21"/>
                                  <w:lang w:eastAsia="en-AU"/>
                                </w:rPr>
                                <w:t>equitable outcome</w:t>
                              </w:r>
                              <w:r w:rsidRPr="005B61E9">
                                <w:rPr>
                                  <w:rFonts w:ascii="Arial" w:eastAsia="Times New Roman" w:hAnsi="Arial" w:cs="Arial"/>
                                  <w:color w:val="414141"/>
                                  <w:sz w:val="21"/>
                                  <w:szCs w:val="21"/>
                                  <w:lang w:eastAsia="en-AU"/>
                                </w:rPr>
                                <w:t>?</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Most people probably wouldn’t think so, because the fact of the bald tyre couldn’t really be said to have caused or contributed to the damage.</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The </w:t>
                              </w:r>
                              <w:r w:rsidRPr="005B61E9">
                                <w:rPr>
                                  <w:rFonts w:ascii="Arial" w:eastAsia="Times New Roman" w:hAnsi="Arial" w:cs="Arial"/>
                                  <w:i/>
                                  <w:iCs/>
                                  <w:color w:val="414141"/>
                                  <w:sz w:val="21"/>
                                  <w:szCs w:val="21"/>
                                  <w:lang w:eastAsia="en-AU"/>
                                </w:rPr>
                                <w:t>Australian Law Reform Commission</w:t>
                              </w:r>
                              <w:r w:rsidRPr="005B61E9">
                                <w:rPr>
                                  <w:rFonts w:ascii="Arial" w:eastAsia="Times New Roman" w:hAnsi="Arial" w:cs="Arial"/>
                                  <w:color w:val="414141"/>
                                  <w:sz w:val="21"/>
                                  <w:szCs w:val="21"/>
                                  <w:lang w:eastAsia="en-AU"/>
                                </w:rPr>
                                <w:t> found that:</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“The existing law is unsatisfactory in that the parties’ rights are determined by the form in which the contract is drafted rather than by reference to the harm caused. The present law can also operate inequitably in that breach of the term may lead to termination of the contract regardless of whether or not the insurer suffered any prejudice as a result of the insured’s breach”.</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r>
                              <w:r w:rsidRPr="005B61E9">
                                <w:rPr>
                                  <w:rFonts w:ascii="Arial" w:eastAsia="Times New Roman" w:hAnsi="Arial" w:cs="Arial"/>
                                  <w:b/>
                                  <w:bCs/>
                                  <w:color w:val="414141"/>
                                  <w:sz w:val="21"/>
                                  <w:szCs w:val="21"/>
                                  <w:lang w:eastAsia="en-AU"/>
                                </w:rPr>
                                <w:t>Section 54 – Insurance Contracts Act 1984</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Section 54 of the Insurance Contracts Act provides:</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b/>
                                  <w:bCs/>
                                  <w:i/>
                                  <w:iCs/>
                                  <w:color w:val="414141"/>
                                  <w:sz w:val="21"/>
                                  <w:szCs w:val="21"/>
                                  <w:lang w:eastAsia="en-AU"/>
                                </w:rPr>
                                <w:t>Insurer may not refuse to pay claims in certain circumstances</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(1)  Subject to this section, where the effect of a contract of insurance would, but</w:t>
                              </w:r>
                              <w:r w:rsidRPr="005B61E9">
                                <w:rPr>
                                  <w:rFonts w:ascii="Arial" w:eastAsia="Times New Roman" w:hAnsi="Arial" w:cs="Arial"/>
                                  <w:i/>
                                  <w:iCs/>
                                  <w:color w:val="414141"/>
                                  <w:sz w:val="21"/>
                                  <w:szCs w:val="21"/>
                                  <w:lang w:eastAsia="en-AU"/>
                                </w:rPr>
                                <w:br/>
                                <w:t>                   for this section, be that the insurer may refuse to pay a claim, either in whole</w:t>
                              </w:r>
                              <w:r w:rsidRPr="005B61E9">
                                <w:rPr>
                                  <w:rFonts w:ascii="Arial" w:eastAsia="Times New Roman" w:hAnsi="Arial" w:cs="Arial"/>
                                  <w:i/>
                                  <w:iCs/>
                                  <w:color w:val="414141"/>
                                  <w:sz w:val="21"/>
                                  <w:szCs w:val="21"/>
                                  <w:lang w:eastAsia="en-AU"/>
                                </w:rPr>
                                <w:br/>
                                <w:t>                   or in part, by reason of some act of the insured or of some other person,</w:t>
                              </w:r>
                              <w:r w:rsidRPr="005B61E9">
                                <w:rPr>
                                  <w:rFonts w:ascii="Arial" w:eastAsia="Times New Roman" w:hAnsi="Arial" w:cs="Arial"/>
                                  <w:i/>
                                  <w:iCs/>
                                  <w:color w:val="414141"/>
                                  <w:sz w:val="21"/>
                                  <w:szCs w:val="21"/>
                                  <w:lang w:eastAsia="en-AU"/>
                                </w:rPr>
                                <w:br/>
                                <w:t>                   being an act that occurred after the contract was entered into but not being</w:t>
                              </w:r>
                              <w:r w:rsidRPr="005B61E9">
                                <w:rPr>
                                  <w:rFonts w:ascii="Arial" w:eastAsia="Times New Roman" w:hAnsi="Arial" w:cs="Arial"/>
                                  <w:i/>
                                  <w:iCs/>
                                  <w:color w:val="414141"/>
                                  <w:sz w:val="21"/>
                                  <w:szCs w:val="21"/>
                                  <w:lang w:eastAsia="en-AU"/>
                                </w:rPr>
                                <w:br/>
                                <w:t>                   an act in respect of which subsection (2) applies, the insurer may not refuse</w:t>
                              </w:r>
                              <w:r w:rsidRPr="005B61E9">
                                <w:rPr>
                                  <w:rFonts w:ascii="Arial" w:eastAsia="Times New Roman" w:hAnsi="Arial" w:cs="Arial"/>
                                  <w:i/>
                                  <w:iCs/>
                                  <w:color w:val="414141"/>
                                  <w:sz w:val="21"/>
                                  <w:szCs w:val="21"/>
                                  <w:lang w:eastAsia="en-AU"/>
                                </w:rPr>
                                <w:br/>
                                <w:t>                   to pay the claim by reason only of that act but the insurer's liability in respect</w:t>
                              </w:r>
                              <w:r w:rsidRPr="005B61E9">
                                <w:rPr>
                                  <w:rFonts w:ascii="Arial" w:eastAsia="Times New Roman" w:hAnsi="Arial" w:cs="Arial"/>
                                  <w:i/>
                                  <w:iCs/>
                                  <w:color w:val="414141"/>
                                  <w:sz w:val="21"/>
                                  <w:szCs w:val="21"/>
                                  <w:lang w:eastAsia="en-AU"/>
                                </w:rPr>
                                <w:br/>
                                <w:t>                   of the claim is reduced by the amount that fairly represents the extent to</w:t>
                              </w:r>
                              <w:r w:rsidRPr="005B61E9">
                                <w:rPr>
                                  <w:rFonts w:ascii="Arial" w:eastAsia="Times New Roman" w:hAnsi="Arial" w:cs="Arial"/>
                                  <w:i/>
                                  <w:iCs/>
                                  <w:color w:val="414141"/>
                                  <w:sz w:val="21"/>
                                  <w:szCs w:val="21"/>
                                  <w:lang w:eastAsia="en-AU"/>
                                </w:rPr>
                                <w:br/>
                                <w:t>                   which the insurer's interests were prejudiced as a result of that act.</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(2)  Subject to the succeeding provisions of this section, where the act could</w:t>
                              </w:r>
                              <w:r w:rsidRPr="005B61E9">
                                <w:rPr>
                                  <w:rFonts w:ascii="Arial" w:eastAsia="Times New Roman" w:hAnsi="Arial" w:cs="Arial"/>
                                  <w:i/>
                                  <w:iCs/>
                                  <w:color w:val="414141"/>
                                  <w:sz w:val="21"/>
                                  <w:szCs w:val="21"/>
                                  <w:lang w:eastAsia="en-AU"/>
                                </w:rPr>
                                <w:br/>
                                <w:t>                   reasonably be regarded as being capable of causing or contributing to a</w:t>
                              </w:r>
                              <w:r w:rsidRPr="005B61E9">
                                <w:rPr>
                                  <w:rFonts w:ascii="Arial" w:eastAsia="Times New Roman" w:hAnsi="Arial" w:cs="Arial"/>
                                  <w:i/>
                                  <w:iCs/>
                                  <w:color w:val="414141"/>
                                  <w:sz w:val="21"/>
                                  <w:szCs w:val="21"/>
                                  <w:lang w:eastAsia="en-AU"/>
                                </w:rPr>
                                <w:br/>
                                <w:t>                   loss in respect of which insurance cover is provided by the contract, the</w:t>
                              </w:r>
                              <w:r w:rsidRPr="005B61E9">
                                <w:rPr>
                                  <w:rFonts w:ascii="Arial" w:eastAsia="Times New Roman" w:hAnsi="Arial" w:cs="Arial"/>
                                  <w:i/>
                                  <w:iCs/>
                                  <w:color w:val="414141"/>
                                  <w:sz w:val="21"/>
                                  <w:szCs w:val="21"/>
                                  <w:lang w:eastAsia="en-AU"/>
                                </w:rPr>
                                <w:br/>
                              </w:r>
                              <w:r w:rsidRPr="005B61E9">
                                <w:rPr>
                                  <w:rFonts w:ascii="Arial" w:eastAsia="Times New Roman" w:hAnsi="Arial" w:cs="Arial"/>
                                  <w:i/>
                                  <w:iCs/>
                                  <w:color w:val="414141"/>
                                  <w:sz w:val="21"/>
                                  <w:szCs w:val="21"/>
                                  <w:lang w:eastAsia="en-AU"/>
                                </w:rPr>
                                <w:lastRenderedPageBreak/>
                                <w:t>                   insurer may refuse to pay the claim.</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(3)  Where the insured proves that no part of the loss that gave rise to the claim</w:t>
                              </w:r>
                              <w:r w:rsidRPr="005B61E9">
                                <w:rPr>
                                  <w:rFonts w:ascii="Arial" w:eastAsia="Times New Roman" w:hAnsi="Arial" w:cs="Arial"/>
                                  <w:i/>
                                  <w:iCs/>
                                  <w:color w:val="414141"/>
                                  <w:sz w:val="21"/>
                                  <w:szCs w:val="21"/>
                                  <w:lang w:eastAsia="en-AU"/>
                                </w:rPr>
                                <w:br/>
                                <w:t>                   was caused by the act, the insurer may not refuse to pay the claim by</w:t>
                              </w:r>
                              <w:r w:rsidRPr="005B61E9">
                                <w:rPr>
                                  <w:rFonts w:ascii="Arial" w:eastAsia="Times New Roman" w:hAnsi="Arial" w:cs="Arial"/>
                                  <w:i/>
                                  <w:iCs/>
                                  <w:color w:val="414141"/>
                                  <w:sz w:val="21"/>
                                  <w:szCs w:val="21"/>
                                  <w:lang w:eastAsia="en-AU"/>
                                </w:rPr>
                                <w:br/>
                                <w:t>                   reason only of the act.</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(4)  Where the insured proves that some part of the loss that gave rise to the</w:t>
                              </w:r>
                              <w:r w:rsidRPr="005B61E9">
                                <w:rPr>
                                  <w:rFonts w:ascii="Arial" w:eastAsia="Times New Roman" w:hAnsi="Arial" w:cs="Arial"/>
                                  <w:i/>
                                  <w:iCs/>
                                  <w:color w:val="414141"/>
                                  <w:sz w:val="21"/>
                                  <w:szCs w:val="21"/>
                                  <w:lang w:eastAsia="en-AU"/>
                                </w:rPr>
                                <w:br/>
                                <w:t>                   claim was not caused by the act, the insurer may not refuse to pay the</w:t>
                              </w:r>
                              <w:r w:rsidRPr="005B61E9">
                                <w:rPr>
                                  <w:rFonts w:ascii="Arial" w:eastAsia="Times New Roman" w:hAnsi="Arial" w:cs="Arial"/>
                                  <w:i/>
                                  <w:iCs/>
                                  <w:color w:val="414141"/>
                                  <w:sz w:val="21"/>
                                  <w:szCs w:val="21"/>
                                  <w:lang w:eastAsia="en-AU"/>
                                </w:rPr>
                                <w:br/>
                                <w:t>                   claim, so far as it concerns that part of the loss, by reason only of the act.</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(5)  Where:</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(a)  the act was necessary to protect the safety of a person or to preserve</w:t>
                              </w:r>
                              <w:r w:rsidRPr="005B61E9">
                                <w:rPr>
                                  <w:rFonts w:ascii="Arial" w:eastAsia="Times New Roman" w:hAnsi="Arial" w:cs="Arial"/>
                                  <w:i/>
                                  <w:iCs/>
                                  <w:color w:val="414141"/>
                                  <w:sz w:val="21"/>
                                  <w:szCs w:val="21"/>
                                  <w:lang w:eastAsia="en-AU"/>
                                </w:rPr>
                                <w:br/>
                                <w:t>                           property; or</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(b)  it was not reasonably possible for the insured or other person not to do</w:t>
                              </w:r>
                              <w:r w:rsidRPr="005B61E9">
                                <w:rPr>
                                  <w:rFonts w:ascii="Arial" w:eastAsia="Times New Roman" w:hAnsi="Arial" w:cs="Arial"/>
                                  <w:i/>
                                  <w:iCs/>
                                  <w:color w:val="414141"/>
                                  <w:sz w:val="21"/>
                                  <w:szCs w:val="21"/>
                                  <w:lang w:eastAsia="en-AU"/>
                                </w:rPr>
                                <w:br/>
                                <w:t>                           the act; the insurer may not refuse to pay the claim by reason only of</w:t>
                              </w:r>
                              <w:r w:rsidRPr="005B61E9">
                                <w:rPr>
                                  <w:rFonts w:ascii="Arial" w:eastAsia="Times New Roman" w:hAnsi="Arial" w:cs="Arial"/>
                                  <w:i/>
                                  <w:iCs/>
                                  <w:color w:val="414141"/>
                                  <w:sz w:val="21"/>
                                  <w:szCs w:val="21"/>
                                  <w:lang w:eastAsia="en-AU"/>
                                </w:rPr>
                                <w:br/>
                                <w:t>                           the act.</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(6)  A reference in this section to an act includes a reference to:</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(a) an omission; and</w:t>
                              </w:r>
                              <w:r w:rsidRPr="005B61E9">
                                <w:rPr>
                                  <w:rFonts w:ascii="Arial" w:eastAsia="Times New Roman" w:hAnsi="Arial" w:cs="Arial"/>
                                  <w:color w:val="414141"/>
                                  <w:sz w:val="21"/>
                                  <w:szCs w:val="21"/>
                                  <w:lang w:eastAsia="en-AU"/>
                                </w:rPr>
                                <w:br/>
                              </w:r>
                              <w:r w:rsidRPr="005B61E9">
                                <w:rPr>
                                  <w:rFonts w:ascii="Arial" w:eastAsia="Times New Roman" w:hAnsi="Arial" w:cs="Arial"/>
                                  <w:i/>
                                  <w:iCs/>
                                  <w:color w:val="414141"/>
                                  <w:sz w:val="21"/>
                                  <w:szCs w:val="21"/>
                                  <w:lang w:eastAsia="en-AU"/>
                                </w:rPr>
                                <w:t>                  </w:t>
                              </w:r>
                              <w:r w:rsidRPr="005B61E9">
                                <w:rPr>
                                  <w:rFonts w:ascii="Arial" w:eastAsia="Times New Roman" w:hAnsi="Arial" w:cs="Arial"/>
                                  <w:i/>
                                  <w:iCs/>
                                  <w:color w:val="414141"/>
                                  <w:sz w:val="21"/>
                                  <w:szCs w:val="21"/>
                                  <w:lang w:eastAsia="en-AU"/>
                                </w:rPr>
                                <w:br/>
                                <w:t>                     (b) an act or omission that has the effect of altering the state or condition of</w:t>
                              </w:r>
                              <w:r w:rsidRPr="005B61E9">
                                <w:rPr>
                                  <w:rFonts w:ascii="Arial" w:eastAsia="Times New Roman" w:hAnsi="Arial" w:cs="Arial"/>
                                  <w:i/>
                                  <w:iCs/>
                                  <w:color w:val="414141"/>
                                  <w:sz w:val="21"/>
                                  <w:szCs w:val="21"/>
                                  <w:lang w:eastAsia="en-AU"/>
                                </w:rPr>
                                <w:br/>
                                <w:t>                         the subject-matter of the contract or of allowing the state or condition of</w:t>
                              </w:r>
                              <w:r w:rsidRPr="005B61E9">
                                <w:rPr>
                                  <w:rFonts w:ascii="Arial" w:eastAsia="Times New Roman" w:hAnsi="Arial" w:cs="Arial"/>
                                  <w:i/>
                                  <w:iCs/>
                                  <w:color w:val="414141"/>
                                  <w:sz w:val="21"/>
                                  <w:szCs w:val="21"/>
                                  <w:lang w:eastAsia="en-AU"/>
                                </w:rPr>
                                <w:br/>
                                <w:t>                         that subject-matter to alter.”</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The most recent High Court decision on section 54 is </w:t>
                              </w:r>
                              <w:r w:rsidRPr="005B61E9">
                                <w:rPr>
                                  <w:rFonts w:ascii="Arial" w:eastAsia="Times New Roman" w:hAnsi="Arial" w:cs="Arial"/>
                                  <w:i/>
                                  <w:iCs/>
                                  <w:color w:val="414141"/>
                                  <w:sz w:val="21"/>
                                  <w:szCs w:val="21"/>
                                  <w:lang w:eastAsia="en-AU"/>
                                </w:rPr>
                                <w:t>Maxwell v Highway Hauliers Pty Ltd HCA 33 (September 2014).</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See: </w:t>
                              </w:r>
                              <w:hyperlink r:id="rId7" w:history="1">
                                <w:r w:rsidRPr="005B61E9">
                                  <w:rPr>
                                    <w:rFonts w:ascii="Arial" w:eastAsia="Times New Roman" w:hAnsi="Arial" w:cs="Arial"/>
                                    <w:i/>
                                    <w:iCs/>
                                    <w:color w:val="2A3994"/>
                                    <w:sz w:val="21"/>
                                    <w:szCs w:val="21"/>
                                    <w:u w:val="single"/>
                                    <w:lang w:eastAsia="en-AU"/>
                                  </w:rPr>
                                  <w:t>http://www.austlii.edu.au/au/cases/cth/HCA/2014/33.html</w:t>
                                </w:r>
                              </w:hyperlink>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The case involved an interstate trucking business where trucks were damaged in separate accidents when the drivers were not appropriately “</w:t>
                              </w:r>
                              <w:r w:rsidRPr="005B61E9">
                                <w:rPr>
                                  <w:rFonts w:ascii="Arial" w:eastAsia="Times New Roman" w:hAnsi="Arial" w:cs="Arial"/>
                                  <w:i/>
                                  <w:iCs/>
                                  <w:color w:val="414141"/>
                                  <w:sz w:val="21"/>
                                  <w:szCs w:val="21"/>
                                  <w:lang w:eastAsia="en-AU"/>
                                </w:rPr>
                                <w:t>PAQS</w:t>
                              </w:r>
                              <w:r w:rsidRPr="005B61E9">
                                <w:rPr>
                                  <w:rFonts w:ascii="Arial" w:eastAsia="Times New Roman" w:hAnsi="Arial" w:cs="Arial"/>
                                  <w:color w:val="414141"/>
                                  <w:sz w:val="21"/>
                                  <w:szCs w:val="21"/>
                                  <w:lang w:eastAsia="en-AU"/>
                                </w:rPr>
                                <w:t>” certified. Lloyds were the insurers under an insurance policy providing for accidental cover to the trucks, and refused to pay the claims on the basis that the driver’s did not have the requisite certification.</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The High Court applied section 54 and found that Lloyds was liable to pay the claims, as the Court found that the purpose of section 54 was to strike “</w:t>
                              </w:r>
                              <w:r w:rsidRPr="005B61E9">
                                <w:rPr>
                                  <w:rFonts w:ascii="Arial" w:eastAsia="Times New Roman" w:hAnsi="Arial" w:cs="Arial"/>
                                  <w:i/>
                                  <w:iCs/>
                                  <w:color w:val="414141"/>
                                  <w:sz w:val="21"/>
                                  <w:szCs w:val="21"/>
                                  <w:lang w:eastAsia="en-AU"/>
                                </w:rPr>
                                <w:t>a fair balance between the interests of an insurer and an insured”.</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lastRenderedPageBreak/>
                                <w:t> </w:t>
                              </w:r>
                              <w:r w:rsidRPr="005B61E9">
                                <w:rPr>
                                  <w:rFonts w:ascii="Arial" w:eastAsia="Times New Roman" w:hAnsi="Arial" w:cs="Arial"/>
                                  <w:color w:val="414141"/>
                                  <w:sz w:val="21"/>
                                  <w:szCs w:val="21"/>
                                  <w:lang w:eastAsia="en-AU"/>
                                </w:rPr>
                                <w:br/>
                              </w:r>
                              <w:r w:rsidRPr="005B61E9">
                                <w:rPr>
                                  <w:rFonts w:ascii="Arial" w:eastAsia="Times New Roman" w:hAnsi="Arial" w:cs="Arial"/>
                                  <w:b/>
                                  <w:bCs/>
                                  <w:i/>
                                  <w:iCs/>
                                  <w:color w:val="414141"/>
                                  <w:sz w:val="21"/>
                                  <w:szCs w:val="21"/>
                                  <w:lang w:eastAsia="en-AU"/>
                                </w:rPr>
                                <w:t>How are You Affected?</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Terms in your policy attempting to limit the insurer’s liability upon an act or omission by you occurring after your policy commenced may not necessarily be an effective means for the insurer to deny or limit its cover, unless the particular act or omission causes or contributes to the loss and prejudices the insurer.</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r>
                              <w:r w:rsidRPr="005B61E9">
                                <w:rPr>
                                  <w:rFonts w:ascii="Arial" w:eastAsia="Times New Roman" w:hAnsi="Arial" w:cs="Arial"/>
                                  <w:b/>
                                  <w:bCs/>
                                  <w:i/>
                                  <w:iCs/>
                                  <w:color w:val="414141"/>
                                  <w:sz w:val="21"/>
                                  <w:szCs w:val="21"/>
                                  <w:lang w:eastAsia="en-AU"/>
                                </w:rPr>
                                <w:t>What Should You Do?</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 </w:t>
                              </w:r>
                              <w:r w:rsidRPr="005B61E9">
                                <w:rPr>
                                  <w:rFonts w:ascii="Arial" w:eastAsia="Times New Roman" w:hAnsi="Arial" w:cs="Arial"/>
                                  <w:color w:val="414141"/>
                                  <w:sz w:val="21"/>
                                  <w:szCs w:val="21"/>
                                  <w:lang w:eastAsia="en-AU"/>
                                </w:rPr>
                                <w:br/>
                                <w:t>You should read your policy carefully and discuss it with your insurer or insurance broker. You should also question your insurer or insurance broker about the circumstances in which the insurer is likely to deny a claim.</w:t>
                              </w:r>
                              <w:r w:rsidRPr="005B61E9">
                                <w:rPr>
                                  <w:rFonts w:ascii="Arial" w:eastAsia="Times New Roman" w:hAnsi="Arial" w:cs="Arial"/>
                                  <w:color w:val="414141"/>
                                  <w:sz w:val="21"/>
                                  <w:szCs w:val="21"/>
                                  <w:lang w:eastAsia="en-AU"/>
                                </w:rPr>
                                <w:br/>
                              </w:r>
                              <w:r w:rsidRPr="005B61E9">
                                <w:rPr>
                                  <w:rFonts w:ascii="Arial" w:eastAsia="Times New Roman" w:hAnsi="Arial" w:cs="Arial"/>
                                  <w:color w:val="414141"/>
                                  <w:sz w:val="21"/>
                                  <w:szCs w:val="21"/>
                                  <w:lang w:eastAsia="en-AU"/>
                                </w:rPr>
                                <w:br/>
                                <w:t>By Clive Mills</w:t>
                              </w:r>
                            </w:p>
                          </w:tc>
                        </w:tr>
                      </w:tbl>
                      <w:p w:rsidR="005B61E9" w:rsidRPr="005B61E9" w:rsidRDefault="005B61E9" w:rsidP="005B61E9">
                        <w:pPr>
                          <w:spacing w:after="0" w:line="240" w:lineRule="auto"/>
                          <w:rPr>
                            <w:rFonts w:ascii="Times New Roman" w:eastAsia="Times New Roman" w:hAnsi="Times New Roman" w:cs="Times New Roman"/>
                            <w:sz w:val="24"/>
                            <w:szCs w:val="24"/>
                            <w:lang w:eastAsia="en-AU"/>
                          </w:rPr>
                        </w:pPr>
                      </w:p>
                    </w:tc>
                  </w:tr>
                  <w:tr w:rsidR="005B61E9" w:rsidRPr="005B61E9">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5B61E9" w:rsidRPr="005B61E9">
                          <w:tc>
                            <w:tcPr>
                              <w:tcW w:w="0" w:type="auto"/>
                              <w:hideMark/>
                            </w:tcPr>
                            <w:p w:rsidR="005B61E9" w:rsidRPr="005B61E9" w:rsidRDefault="005B61E9" w:rsidP="005B61E9">
                              <w:pPr>
                                <w:spacing w:after="0" w:line="240" w:lineRule="auto"/>
                                <w:rPr>
                                  <w:rFonts w:ascii="Times New Roman" w:eastAsia="Times New Roman" w:hAnsi="Times New Roman" w:cs="Times New Roman"/>
                                  <w:sz w:val="24"/>
                                  <w:szCs w:val="24"/>
                                  <w:lang w:eastAsia="en-AU"/>
                                </w:rPr>
                              </w:pPr>
                            </w:p>
                          </w:tc>
                        </w:tr>
                      </w:tbl>
                      <w:p w:rsidR="005B61E9" w:rsidRPr="005B61E9" w:rsidRDefault="005B61E9" w:rsidP="005B61E9">
                        <w:pPr>
                          <w:spacing w:after="0" w:line="240" w:lineRule="auto"/>
                          <w:rPr>
                            <w:rFonts w:ascii="Times New Roman" w:eastAsia="Times New Roman" w:hAnsi="Times New Roman" w:cs="Times New Roman"/>
                            <w:sz w:val="24"/>
                            <w:szCs w:val="24"/>
                            <w:lang w:eastAsia="en-AU"/>
                          </w:rPr>
                        </w:pPr>
                      </w:p>
                    </w:tc>
                  </w:tr>
                </w:tbl>
                <w:p w:rsidR="005B61E9" w:rsidRPr="005B61E9" w:rsidRDefault="005B61E9" w:rsidP="005B61E9">
                  <w:pPr>
                    <w:spacing w:after="0" w:line="240" w:lineRule="auto"/>
                    <w:rPr>
                      <w:rFonts w:ascii="Times New Roman" w:eastAsia="Times New Roman" w:hAnsi="Times New Roman" w:cs="Times New Roman"/>
                      <w:sz w:val="24"/>
                      <w:szCs w:val="24"/>
                      <w:lang w:eastAsia="en-AU"/>
                    </w:rPr>
                  </w:pPr>
                </w:p>
              </w:tc>
            </w:tr>
          </w:tbl>
          <w:p w:rsidR="005B61E9" w:rsidRPr="005B61E9" w:rsidRDefault="005B61E9" w:rsidP="005B61E9">
            <w:pPr>
              <w:spacing w:after="0" w:line="240" w:lineRule="auto"/>
              <w:jc w:val="center"/>
              <w:rPr>
                <w:rFonts w:ascii="Times New Roman" w:eastAsia="Times New Roman" w:hAnsi="Times New Roman" w:cs="Times New Roman"/>
                <w:color w:val="000000"/>
                <w:sz w:val="27"/>
                <w:szCs w:val="27"/>
                <w:lang w:eastAsia="en-AU"/>
              </w:rPr>
            </w:pPr>
          </w:p>
        </w:tc>
      </w:tr>
    </w:tbl>
    <w:p w:rsidR="00C9134A" w:rsidRDefault="00C9134A">
      <w:bookmarkStart w:id="0" w:name="_GoBack"/>
      <w:bookmarkEnd w:id="0"/>
    </w:p>
    <w:sectPr w:rsidR="00C91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E9"/>
    <w:rsid w:val="005B61E9"/>
    <w:rsid w:val="00C91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6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B61E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B61E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E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B61E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B61E9"/>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5B61E9"/>
  </w:style>
  <w:style w:type="character" w:styleId="Emphasis">
    <w:name w:val="Emphasis"/>
    <w:basedOn w:val="DefaultParagraphFont"/>
    <w:uiPriority w:val="20"/>
    <w:qFormat/>
    <w:rsid w:val="005B61E9"/>
    <w:rPr>
      <w:i/>
      <w:iCs/>
    </w:rPr>
  </w:style>
  <w:style w:type="character" w:styleId="Strong">
    <w:name w:val="Strong"/>
    <w:basedOn w:val="DefaultParagraphFont"/>
    <w:uiPriority w:val="22"/>
    <w:qFormat/>
    <w:rsid w:val="005B61E9"/>
    <w:rPr>
      <w:b/>
      <w:bCs/>
    </w:rPr>
  </w:style>
  <w:style w:type="paragraph" w:styleId="BalloonText">
    <w:name w:val="Balloon Text"/>
    <w:basedOn w:val="Normal"/>
    <w:link w:val="BalloonTextChar"/>
    <w:uiPriority w:val="99"/>
    <w:semiHidden/>
    <w:unhideWhenUsed/>
    <w:rsid w:val="005B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6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B61E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B61E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E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B61E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B61E9"/>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5B61E9"/>
  </w:style>
  <w:style w:type="character" w:styleId="Emphasis">
    <w:name w:val="Emphasis"/>
    <w:basedOn w:val="DefaultParagraphFont"/>
    <w:uiPriority w:val="20"/>
    <w:qFormat/>
    <w:rsid w:val="005B61E9"/>
    <w:rPr>
      <w:i/>
      <w:iCs/>
    </w:rPr>
  </w:style>
  <w:style w:type="character" w:styleId="Strong">
    <w:name w:val="Strong"/>
    <w:basedOn w:val="DefaultParagraphFont"/>
    <w:uiPriority w:val="22"/>
    <w:qFormat/>
    <w:rsid w:val="005B61E9"/>
    <w:rPr>
      <w:b/>
      <w:bCs/>
    </w:rPr>
  </w:style>
  <w:style w:type="paragraph" w:styleId="BalloonText">
    <w:name w:val="Balloon Text"/>
    <w:basedOn w:val="Normal"/>
    <w:link w:val="BalloonTextChar"/>
    <w:uiPriority w:val="99"/>
    <w:semiHidden/>
    <w:unhideWhenUsed/>
    <w:rsid w:val="005B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tlii.edu.au/au/cases/cth/HCA/2014/3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2016-08-23T01:24:00Z</dcterms:created>
  <dcterms:modified xsi:type="dcterms:W3CDTF">2016-08-23T01:24:00Z</dcterms:modified>
</cp:coreProperties>
</file>