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00" w:type="dxa"/>
        <w:tblCellSpacing w:w="0" w:type="dxa"/>
        <w:shd w:val="clear" w:color="auto" w:fill="EEEEEE"/>
        <w:tblCellMar>
          <w:left w:w="0" w:type="dxa"/>
          <w:right w:w="0" w:type="dxa"/>
        </w:tblCellMar>
        <w:tblLook w:val="04A0" w:firstRow="1" w:lastRow="0" w:firstColumn="1" w:lastColumn="0" w:noHBand="0" w:noVBand="1"/>
      </w:tblPr>
      <w:tblGrid>
        <w:gridCol w:w="9000"/>
      </w:tblGrid>
      <w:tr w:rsidR="007F0526" w:rsidRPr="007F0526" w:rsidTr="007F0526">
        <w:trPr>
          <w:tblCellSpacing w:w="0" w:type="dxa"/>
        </w:trPr>
        <w:tc>
          <w:tcPr>
            <w:tcW w:w="0" w:type="auto"/>
            <w:tcBorders>
              <w:top w:val="nil"/>
              <w:bottom w:val="nil"/>
            </w:tcBorders>
            <w:shd w:val="clear" w:color="auto" w:fill="FFFFFF"/>
            <w:tcMar>
              <w:top w:w="300" w:type="dxa"/>
              <w:left w:w="0" w:type="dxa"/>
              <w:bottom w:w="300" w:type="dxa"/>
              <w:right w:w="0" w:type="dxa"/>
            </w:tcMar>
            <w:hideMark/>
          </w:tcPr>
          <w:tbl>
            <w:tblPr>
              <w:tblW w:w="9000" w:type="dxa"/>
              <w:jc w:val="center"/>
              <w:tblCellSpacing w:w="0" w:type="dxa"/>
              <w:tblCellMar>
                <w:left w:w="0" w:type="dxa"/>
                <w:right w:w="0" w:type="dxa"/>
              </w:tblCellMar>
              <w:tblLook w:val="04A0" w:firstRow="1" w:lastRow="0" w:firstColumn="1" w:lastColumn="0" w:noHBand="0" w:noVBand="1"/>
            </w:tblPr>
            <w:tblGrid>
              <w:gridCol w:w="6000"/>
              <w:gridCol w:w="3000"/>
            </w:tblGrid>
            <w:tr w:rsidR="007F0526" w:rsidRPr="007F0526">
              <w:trPr>
                <w:tblCellSpacing w:w="0" w:type="dxa"/>
                <w:jc w:val="center"/>
              </w:trPr>
              <w:tc>
                <w:tcPr>
                  <w:tcW w:w="6000" w:type="dxa"/>
                  <w:tcMar>
                    <w:top w:w="0" w:type="dxa"/>
                    <w:left w:w="300" w:type="dxa"/>
                    <w:bottom w:w="0" w:type="dxa"/>
                    <w:right w:w="300" w:type="dxa"/>
                  </w:tcMar>
                  <w:vAlign w:val="center"/>
                  <w:hideMark/>
                </w:tcPr>
                <w:p w:rsidR="007F0526" w:rsidRPr="007F0526" w:rsidRDefault="007F0526" w:rsidP="007F0526">
                  <w:pPr>
                    <w:spacing w:after="0" w:line="195" w:lineRule="atLeast"/>
                    <w:rPr>
                      <w:rFonts w:ascii="Helvetica" w:eastAsia="Times New Roman" w:hAnsi="Helvetica" w:cs="Helvetica"/>
                      <w:b/>
                      <w:bCs/>
                      <w:color w:val="3F3F38"/>
                      <w:sz w:val="20"/>
                      <w:szCs w:val="20"/>
                      <w:lang w:eastAsia="en-AU"/>
                    </w:rPr>
                  </w:pPr>
                  <w:r w:rsidRPr="007F0526">
                    <w:rPr>
                      <w:rFonts w:ascii="Helvetica" w:eastAsia="Times New Roman" w:hAnsi="Helvetica" w:cs="Helvetica"/>
                      <w:b/>
                      <w:bCs/>
                      <w:color w:val="3F3F38"/>
                      <w:sz w:val="48"/>
                      <w:szCs w:val="48"/>
                      <w:lang w:eastAsia="en-AU"/>
                    </w:rPr>
                    <w:t>Clive Mills is now a</w:t>
                  </w:r>
                  <w:r w:rsidRPr="007F0526">
                    <w:rPr>
                      <w:rFonts w:ascii="Helvetica" w:eastAsia="Times New Roman" w:hAnsi="Helvetica" w:cs="Helvetica"/>
                      <w:b/>
                      <w:bCs/>
                      <w:color w:val="3F3F38"/>
                      <w:sz w:val="48"/>
                      <w:szCs w:val="48"/>
                      <w:lang w:eastAsia="en-AU"/>
                    </w:rPr>
                    <w:br/>
                  </w:r>
                  <w:r w:rsidRPr="007F0526">
                    <w:rPr>
                      <w:rFonts w:ascii="Helvetica" w:eastAsia="Times New Roman" w:hAnsi="Helvetica" w:cs="Helvetica"/>
                      <w:b/>
                      <w:bCs/>
                      <w:color w:val="3F3F38"/>
                      <w:sz w:val="48"/>
                      <w:szCs w:val="48"/>
                      <w:lang w:eastAsia="en-AU"/>
                    </w:rPr>
                    <w:br/>
                    <w:t>Public Notary!</w:t>
                  </w:r>
                </w:p>
              </w:tc>
              <w:tc>
                <w:tcPr>
                  <w:tcW w:w="3000" w:type="dxa"/>
                  <w:tcMar>
                    <w:top w:w="0" w:type="dxa"/>
                    <w:left w:w="0" w:type="dxa"/>
                    <w:bottom w:w="0" w:type="dxa"/>
                    <w:right w:w="300" w:type="dxa"/>
                  </w:tcMar>
                  <w:vAlign w:val="center"/>
                  <w:hideMark/>
                </w:tcPr>
                <w:tbl>
                  <w:tblPr>
                    <w:tblW w:w="0" w:type="auto"/>
                    <w:jc w:val="right"/>
                    <w:tblCellSpacing w:w="0" w:type="dxa"/>
                    <w:shd w:val="clear" w:color="auto" w:fill="E95497"/>
                    <w:tblCellMar>
                      <w:top w:w="225" w:type="dxa"/>
                      <w:left w:w="225" w:type="dxa"/>
                      <w:bottom w:w="225" w:type="dxa"/>
                      <w:right w:w="225" w:type="dxa"/>
                    </w:tblCellMar>
                    <w:tblLook w:val="04A0" w:firstRow="1" w:lastRow="0" w:firstColumn="1" w:lastColumn="0" w:noHBand="0" w:noVBand="1"/>
                  </w:tblPr>
                  <w:tblGrid>
                    <w:gridCol w:w="2700"/>
                  </w:tblGrid>
                  <w:tr w:rsidR="007F0526" w:rsidRPr="007F0526">
                    <w:trPr>
                      <w:tblCellSpacing w:w="0" w:type="dxa"/>
                      <w:jc w:val="right"/>
                    </w:trPr>
                    <w:tc>
                      <w:tcPr>
                        <w:tcW w:w="0" w:type="auto"/>
                        <w:shd w:val="clear" w:color="auto" w:fill="E95497"/>
                        <w:tcMar>
                          <w:top w:w="225" w:type="dxa"/>
                          <w:left w:w="300" w:type="dxa"/>
                          <w:bottom w:w="225" w:type="dxa"/>
                          <w:right w:w="300" w:type="dxa"/>
                        </w:tcMar>
                        <w:vAlign w:val="center"/>
                        <w:hideMark/>
                      </w:tcPr>
                      <w:p w:rsidR="007F0526" w:rsidRPr="007F0526" w:rsidRDefault="007F0526" w:rsidP="007F0526">
                        <w:pPr>
                          <w:spacing w:after="0" w:line="293" w:lineRule="atLeast"/>
                          <w:jc w:val="center"/>
                          <w:rPr>
                            <w:rFonts w:ascii="Helvetica" w:eastAsia="Times New Roman" w:hAnsi="Helvetica" w:cs="Helvetica"/>
                            <w:b/>
                            <w:bCs/>
                            <w:color w:val="FFFFFF"/>
                            <w:sz w:val="20"/>
                            <w:szCs w:val="20"/>
                            <w:lang w:eastAsia="en-AU"/>
                          </w:rPr>
                        </w:pPr>
                        <w:r w:rsidRPr="007F0526">
                          <w:rPr>
                            <w:rFonts w:ascii="Helvetica" w:eastAsia="Times New Roman" w:hAnsi="Helvetica" w:cs="Helvetica"/>
                            <w:b/>
                            <w:bCs/>
                            <w:color w:val="FFFFFF"/>
                            <w:sz w:val="20"/>
                            <w:szCs w:val="20"/>
                            <w:lang w:eastAsia="en-AU"/>
                          </w:rPr>
                          <w:t>Clive Mills &amp; Associates</w:t>
                        </w:r>
                        <w:r w:rsidRPr="007F0526">
                          <w:rPr>
                            <w:rFonts w:ascii="Helvetica" w:eastAsia="Times New Roman" w:hAnsi="Helvetica" w:cs="Helvetica"/>
                            <w:b/>
                            <w:bCs/>
                            <w:color w:val="FFFFFF"/>
                            <w:sz w:val="20"/>
                            <w:szCs w:val="20"/>
                            <w:lang w:eastAsia="en-AU"/>
                          </w:rPr>
                          <w:br/>
                          <w:t>Newsletter Vol. 2/2013</w:t>
                        </w:r>
                      </w:p>
                    </w:tc>
                  </w:tr>
                </w:tbl>
                <w:p w:rsidR="007F0526" w:rsidRPr="007F0526" w:rsidRDefault="007F0526" w:rsidP="007F0526">
                  <w:pPr>
                    <w:spacing w:after="0" w:line="240" w:lineRule="auto"/>
                    <w:jc w:val="right"/>
                    <w:rPr>
                      <w:rFonts w:ascii="Times New Roman" w:eastAsia="Times New Roman" w:hAnsi="Times New Roman" w:cs="Times New Roman"/>
                      <w:sz w:val="24"/>
                      <w:szCs w:val="24"/>
                      <w:lang w:eastAsia="en-AU"/>
                    </w:rPr>
                  </w:pPr>
                </w:p>
              </w:tc>
            </w:tr>
            <w:tr w:rsidR="007F0526" w:rsidRPr="007F0526" w:rsidTr="007F0526">
              <w:trPr>
                <w:tblCellSpacing w:w="0" w:type="dxa"/>
                <w:jc w:val="center"/>
              </w:trPr>
              <w:tc>
                <w:tcPr>
                  <w:tcW w:w="0" w:type="auto"/>
                  <w:gridSpan w:val="2"/>
                  <w:tcMar>
                    <w:top w:w="600" w:type="dxa"/>
                    <w:left w:w="0" w:type="dxa"/>
                    <w:bottom w:w="0" w:type="dxa"/>
                    <w:right w:w="0" w:type="dxa"/>
                  </w:tcMar>
                </w:tcPr>
                <w:p w:rsidR="007F0526" w:rsidRPr="007F0526" w:rsidRDefault="007F0526" w:rsidP="007F0526">
                  <w:pPr>
                    <w:spacing w:after="0" w:line="240" w:lineRule="auto"/>
                    <w:rPr>
                      <w:rFonts w:ascii="Times New Roman" w:eastAsia="Times New Roman" w:hAnsi="Times New Roman" w:cs="Times New Roman"/>
                      <w:sz w:val="24"/>
                      <w:szCs w:val="24"/>
                      <w:lang w:eastAsia="en-AU"/>
                    </w:rPr>
                  </w:pPr>
                  <w:bookmarkStart w:id="0" w:name="_GoBack"/>
                  <w:bookmarkEnd w:id="0"/>
                </w:p>
              </w:tc>
            </w:tr>
          </w:tbl>
          <w:p w:rsidR="007F0526" w:rsidRPr="007F0526" w:rsidRDefault="007F0526" w:rsidP="007F0526">
            <w:pPr>
              <w:spacing w:after="0" w:line="240" w:lineRule="auto"/>
              <w:jc w:val="center"/>
              <w:rPr>
                <w:rFonts w:ascii="Times New Roman" w:eastAsia="Times New Roman" w:hAnsi="Times New Roman" w:cs="Times New Roman"/>
                <w:color w:val="000000"/>
                <w:sz w:val="27"/>
                <w:szCs w:val="27"/>
                <w:lang w:eastAsia="en-AU"/>
              </w:rPr>
            </w:pPr>
          </w:p>
        </w:tc>
      </w:tr>
      <w:tr w:rsidR="007F0526" w:rsidRPr="007F0526" w:rsidTr="007F0526">
        <w:trPr>
          <w:tblCellSpacing w:w="0" w:type="dxa"/>
        </w:trPr>
        <w:tc>
          <w:tcPr>
            <w:tcW w:w="0" w:type="auto"/>
            <w:shd w:val="clear" w:color="auto" w:fill="EEEEEE"/>
            <w:hideMark/>
          </w:tcPr>
          <w:tbl>
            <w:tblPr>
              <w:tblW w:w="9000" w:type="dxa"/>
              <w:jc w:val="center"/>
              <w:tblCellSpacing w:w="0" w:type="dxa"/>
              <w:shd w:val="clear" w:color="auto" w:fill="FFFFFF"/>
              <w:tblCellMar>
                <w:top w:w="300" w:type="dxa"/>
                <w:left w:w="300" w:type="dxa"/>
                <w:bottom w:w="300" w:type="dxa"/>
                <w:right w:w="300" w:type="dxa"/>
              </w:tblCellMar>
              <w:tblLook w:val="04A0" w:firstRow="1" w:lastRow="0" w:firstColumn="1" w:lastColumn="0" w:noHBand="0" w:noVBand="1"/>
            </w:tblPr>
            <w:tblGrid>
              <w:gridCol w:w="9000"/>
            </w:tblGrid>
            <w:tr w:rsidR="007F0526" w:rsidRPr="007F0526">
              <w:trPr>
                <w:tblCellSpacing w:w="0" w:type="dxa"/>
                <w:jc w:val="center"/>
              </w:trPr>
              <w:tc>
                <w:tcPr>
                  <w:tcW w:w="0" w:type="auto"/>
                  <w:shd w:val="clear" w:color="auto" w:fill="FFFFFF"/>
                  <w:tcMar>
                    <w:top w:w="300" w:type="dxa"/>
                    <w:left w:w="300" w:type="dxa"/>
                    <w:bottom w:w="600" w:type="dxa"/>
                    <w:right w:w="300" w:type="dxa"/>
                  </w:tcMar>
                  <w:hideMark/>
                </w:tcPr>
                <w:tbl>
                  <w:tblPr>
                    <w:tblW w:w="8400" w:type="dxa"/>
                    <w:jc w:val="center"/>
                    <w:tblCellSpacing w:w="0" w:type="dxa"/>
                    <w:tblCellMar>
                      <w:left w:w="0" w:type="dxa"/>
                      <w:right w:w="0" w:type="dxa"/>
                    </w:tblCellMar>
                    <w:tblLook w:val="04A0" w:firstRow="1" w:lastRow="0" w:firstColumn="1" w:lastColumn="0" w:noHBand="0" w:noVBand="1"/>
                  </w:tblPr>
                  <w:tblGrid>
                    <w:gridCol w:w="8400"/>
                  </w:tblGrid>
                  <w:tr w:rsidR="007F0526" w:rsidRPr="007F0526">
                    <w:trPr>
                      <w:tblCellSpacing w:w="0" w:type="dxa"/>
                      <w:jc w:val="center"/>
                    </w:trPr>
                    <w:tc>
                      <w:tcPr>
                        <w:tcW w:w="0" w:type="auto"/>
                        <w:tcBorders>
                          <w:bottom w:val="single" w:sz="6" w:space="0" w:color="CCCCCC"/>
                        </w:tcBorders>
                        <w:tcMar>
                          <w:top w:w="0" w:type="dxa"/>
                          <w:left w:w="0" w:type="dxa"/>
                          <w:bottom w:w="300" w:type="dxa"/>
                          <w:right w:w="0" w:type="dxa"/>
                        </w:tcMar>
                        <w:hideMark/>
                      </w:tcPr>
                      <w:p w:rsidR="007F0526" w:rsidRPr="007F0526" w:rsidRDefault="007F0526" w:rsidP="007F0526">
                        <w:pPr>
                          <w:spacing w:after="150" w:line="315" w:lineRule="atLeast"/>
                          <w:outlineLvl w:val="1"/>
                          <w:rPr>
                            <w:rFonts w:ascii="Helvetica" w:eastAsia="Times New Roman" w:hAnsi="Helvetica" w:cs="Helvetica"/>
                            <w:b/>
                            <w:bCs/>
                            <w:color w:val="3F3F38"/>
                            <w:sz w:val="32"/>
                            <w:szCs w:val="32"/>
                            <w:lang w:eastAsia="en-AU"/>
                          </w:rPr>
                        </w:pPr>
                        <w:r w:rsidRPr="007F0526">
                          <w:rPr>
                            <w:rFonts w:ascii="Helvetica" w:eastAsia="Times New Roman" w:hAnsi="Helvetica" w:cs="Helvetica"/>
                            <w:b/>
                            <w:bCs/>
                            <w:color w:val="3F3F38"/>
                            <w:sz w:val="32"/>
                            <w:szCs w:val="32"/>
                            <w:lang w:eastAsia="en-AU"/>
                          </w:rPr>
                          <w:t>What is a Public Notary?</w:t>
                        </w:r>
                      </w:p>
                      <w:p w:rsidR="007F0526" w:rsidRPr="007F0526" w:rsidRDefault="007F0526" w:rsidP="007F0526">
                        <w:pPr>
                          <w:spacing w:after="0" w:line="338" w:lineRule="atLeast"/>
                          <w:rPr>
                            <w:rFonts w:ascii="Helvetica" w:eastAsia="Times New Roman" w:hAnsi="Helvetica" w:cs="Helvetica"/>
                            <w:color w:val="303030"/>
                            <w:sz w:val="23"/>
                            <w:szCs w:val="23"/>
                            <w:lang w:eastAsia="en-AU"/>
                          </w:rPr>
                        </w:pPr>
                        <w:r w:rsidRPr="007F0526">
                          <w:rPr>
                            <w:rFonts w:ascii="Helvetica" w:eastAsia="Times New Roman" w:hAnsi="Helvetica" w:cs="Helvetica"/>
                            <w:color w:val="303030"/>
                            <w:sz w:val="23"/>
                            <w:szCs w:val="23"/>
                            <w:lang w:eastAsia="en-AU"/>
                          </w:rPr>
                          <w:t>A public notary is a public officer, appointed for life by the Supreme Court, and given statutory powers to witness documents, administer oaths, and perform other wide-ranging administrative functions of a national and international nature.</w:t>
                        </w:r>
                        <w:r w:rsidRPr="007F0526">
                          <w:rPr>
                            <w:rFonts w:ascii="Helvetica" w:eastAsia="Times New Roman" w:hAnsi="Helvetica" w:cs="Helvetica"/>
                            <w:color w:val="303030"/>
                            <w:sz w:val="23"/>
                            <w:szCs w:val="23"/>
                            <w:lang w:eastAsia="en-AU"/>
                          </w:rPr>
                          <w:br/>
                        </w:r>
                        <w:r w:rsidRPr="007F0526">
                          <w:rPr>
                            <w:rFonts w:ascii="Helvetica" w:eastAsia="Times New Roman" w:hAnsi="Helvetica" w:cs="Helvetica"/>
                            <w:color w:val="303030"/>
                            <w:sz w:val="23"/>
                            <w:szCs w:val="23"/>
                            <w:lang w:eastAsia="en-AU"/>
                          </w:rPr>
                          <w:br/>
                          <w:t>A Notary Public not only takes oaths, signs and witnesses documents for use within Australia, but also performs similar functions in respect of </w:t>
                        </w:r>
                        <w:r w:rsidRPr="007F0526">
                          <w:rPr>
                            <w:rFonts w:ascii="Helvetica" w:eastAsia="Times New Roman" w:hAnsi="Helvetica" w:cs="Helvetica"/>
                            <w:b/>
                            <w:bCs/>
                            <w:i/>
                            <w:iCs/>
                            <w:color w:val="303030"/>
                            <w:sz w:val="23"/>
                            <w:szCs w:val="23"/>
                            <w:lang w:eastAsia="en-AU"/>
                          </w:rPr>
                          <w:t>international </w:t>
                        </w:r>
                        <w:r w:rsidRPr="007F0526">
                          <w:rPr>
                            <w:rFonts w:ascii="Helvetica" w:eastAsia="Times New Roman" w:hAnsi="Helvetica" w:cs="Helvetica"/>
                            <w:color w:val="303030"/>
                            <w:sz w:val="23"/>
                            <w:szCs w:val="23"/>
                            <w:lang w:eastAsia="en-AU"/>
                          </w:rPr>
                          <w:t>documents for use outside Australia.</w:t>
                        </w:r>
                        <w:r w:rsidRPr="007F0526">
                          <w:rPr>
                            <w:rFonts w:ascii="Helvetica" w:eastAsia="Times New Roman" w:hAnsi="Helvetica" w:cs="Helvetica"/>
                            <w:color w:val="303030"/>
                            <w:sz w:val="23"/>
                            <w:szCs w:val="23"/>
                            <w:lang w:eastAsia="en-AU"/>
                          </w:rPr>
                          <w:br/>
                        </w:r>
                        <w:r w:rsidRPr="007F0526">
                          <w:rPr>
                            <w:rFonts w:ascii="Helvetica" w:eastAsia="Times New Roman" w:hAnsi="Helvetica" w:cs="Helvetica"/>
                            <w:color w:val="303030"/>
                            <w:sz w:val="23"/>
                            <w:szCs w:val="23"/>
                            <w:lang w:eastAsia="en-AU"/>
                          </w:rPr>
                          <w:br/>
                        </w:r>
                        <w:r w:rsidRPr="007F0526">
                          <w:rPr>
                            <w:rFonts w:ascii="Helvetica" w:eastAsia="Times New Roman" w:hAnsi="Helvetica" w:cs="Helvetica"/>
                            <w:b/>
                            <w:bCs/>
                            <w:color w:val="303030"/>
                            <w:sz w:val="23"/>
                            <w:szCs w:val="23"/>
                            <w:lang w:eastAsia="en-AU"/>
                          </w:rPr>
                          <w:t>Is a Public Notary a Justice of the Peace?</w:t>
                        </w:r>
                        <w:r w:rsidRPr="007F0526">
                          <w:rPr>
                            <w:rFonts w:ascii="Helvetica" w:eastAsia="Times New Roman" w:hAnsi="Helvetica" w:cs="Helvetica"/>
                            <w:color w:val="303030"/>
                            <w:sz w:val="23"/>
                            <w:szCs w:val="23"/>
                            <w:lang w:eastAsia="en-AU"/>
                          </w:rPr>
                          <w:br/>
                        </w:r>
                        <w:proofErr w:type="gramStart"/>
                        <w:r w:rsidRPr="007F0526">
                          <w:rPr>
                            <w:rFonts w:ascii="Helvetica" w:eastAsia="Times New Roman" w:hAnsi="Helvetica" w:cs="Helvetica"/>
                            <w:color w:val="303030"/>
                            <w:sz w:val="23"/>
                            <w:szCs w:val="23"/>
                            <w:lang w:eastAsia="en-AU"/>
                          </w:rPr>
                          <w:t>Justice of the Peace (JPs) in Australia are</w:t>
                        </w:r>
                        <w:proofErr w:type="gramEnd"/>
                        <w:r w:rsidRPr="007F0526">
                          <w:rPr>
                            <w:rFonts w:ascii="Helvetica" w:eastAsia="Times New Roman" w:hAnsi="Helvetica" w:cs="Helvetica"/>
                            <w:color w:val="303030"/>
                            <w:sz w:val="23"/>
                            <w:szCs w:val="23"/>
                            <w:lang w:eastAsia="en-AU"/>
                          </w:rPr>
                          <w:t xml:space="preserve"> not permitted to witness documents for use in foreign countries. Notaries have this exclusive right and are the only true international "JP's" in Australia.</w:t>
                        </w:r>
                        <w:r w:rsidRPr="007F0526">
                          <w:rPr>
                            <w:rFonts w:ascii="Helvetica" w:eastAsia="Times New Roman" w:hAnsi="Helvetica" w:cs="Helvetica"/>
                            <w:color w:val="303030"/>
                            <w:sz w:val="23"/>
                            <w:szCs w:val="23"/>
                            <w:lang w:eastAsia="en-AU"/>
                          </w:rPr>
                          <w:br/>
                        </w:r>
                        <w:r w:rsidRPr="007F0526">
                          <w:rPr>
                            <w:rFonts w:ascii="Helvetica" w:eastAsia="Times New Roman" w:hAnsi="Helvetica" w:cs="Helvetica"/>
                            <w:color w:val="303030"/>
                            <w:sz w:val="23"/>
                            <w:szCs w:val="23"/>
                            <w:lang w:eastAsia="en-AU"/>
                          </w:rPr>
                          <w:br/>
                          <w:t>Notaries Public affix their official seal or stamp, onto documents. All Notaries' seals and signatures are officially recorded in a data base held by the Department of Foreign Affairs and Trade (DFAT), and Australian government department authorised to issue Apostille or Authentication Certificates certifying that the signatures, seals or stamps of Notaries on Australian public documents are genuine.</w:t>
                        </w:r>
                        <w:r w:rsidRPr="007F0526">
                          <w:rPr>
                            <w:rFonts w:ascii="Helvetica" w:eastAsia="Times New Roman" w:hAnsi="Helvetica" w:cs="Helvetica"/>
                            <w:color w:val="303030"/>
                            <w:sz w:val="23"/>
                            <w:szCs w:val="23"/>
                            <w:lang w:eastAsia="en-AU"/>
                          </w:rPr>
                          <w:br/>
                        </w:r>
                        <w:r w:rsidRPr="007F0526">
                          <w:rPr>
                            <w:rFonts w:ascii="Helvetica" w:eastAsia="Times New Roman" w:hAnsi="Helvetica" w:cs="Helvetica"/>
                            <w:color w:val="303030"/>
                            <w:sz w:val="23"/>
                            <w:szCs w:val="23"/>
                            <w:lang w:eastAsia="en-AU"/>
                          </w:rPr>
                          <w:br/>
                          <w:t>Public Notaries also have their signatures, seals or stamps registered with their State or Territory Supreme Court to whom they are answerable to, and with their local Notary Society.</w:t>
                        </w:r>
                        <w:r w:rsidRPr="007F0526">
                          <w:rPr>
                            <w:rFonts w:ascii="Helvetica" w:eastAsia="Times New Roman" w:hAnsi="Helvetica" w:cs="Helvetica"/>
                            <w:color w:val="303030"/>
                            <w:sz w:val="23"/>
                            <w:szCs w:val="23"/>
                            <w:lang w:eastAsia="en-AU"/>
                          </w:rPr>
                          <w:br/>
                        </w:r>
                        <w:r w:rsidRPr="007F0526">
                          <w:rPr>
                            <w:rFonts w:ascii="Helvetica" w:eastAsia="Times New Roman" w:hAnsi="Helvetica" w:cs="Helvetica"/>
                            <w:color w:val="303030"/>
                            <w:sz w:val="23"/>
                            <w:szCs w:val="23"/>
                            <w:lang w:eastAsia="en-AU"/>
                          </w:rPr>
                          <w:br/>
                        </w:r>
                        <w:r w:rsidRPr="007F0526">
                          <w:rPr>
                            <w:rFonts w:ascii="Helvetica" w:eastAsia="Times New Roman" w:hAnsi="Helvetica" w:cs="Helvetica"/>
                            <w:b/>
                            <w:bCs/>
                            <w:color w:val="303030"/>
                            <w:sz w:val="23"/>
                            <w:szCs w:val="23"/>
                            <w:lang w:eastAsia="en-AU"/>
                          </w:rPr>
                          <w:t>What does a Notary Public actually do?</w:t>
                        </w:r>
                      </w:p>
                      <w:p w:rsidR="007F0526" w:rsidRPr="007F0526" w:rsidRDefault="007F0526" w:rsidP="007F0526">
                        <w:pPr>
                          <w:numPr>
                            <w:ilvl w:val="0"/>
                            <w:numId w:val="1"/>
                          </w:numPr>
                          <w:spacing w:before="100" w:beforeAutospacing="1" w:after="100" w:afterAutospacing="1" w:line="338" w:lineRule="atLeast"/>
                          <w:rPr>
                            <w:rFonts w:ascii="Helvetica" w:eastAsia="Times New Roman" w:hAnsi="Helvetica" w:cs="Helvetica"/>
                            <w:color w:val="303030"/>
                            <w:sz w:val="23"/>
                            <w:szCs w:val="23"/>
                            <w:lang w:eastAsia="en-AU"/>
                          </w:rPr>
                        </w:pPr>
                        <w:r w:rsidRPr="007F0526">
                          <w:rPr>
                            <w:rFonts w:ascii="Helvetica" w:eastAsia="Times New Roman" w:hAnsi="Helvetica" w:cs="Helvetica"/>
                            <w:color w:val="303030"/>
                            <w:sz w:val="23"/>
                            <w:szCs w:val="23"/>
                            <w:lang w:eastAsia="en-AU"/>
                          </w:rPr>
                          <w:t xml:space="preserve">attests documents and certifies their due execution for use in Australia and </w:t>
                        </w:r>
                        <w:r w:rsidRPr="007F0526">
                          <w:rPr>
                            <w:rFonts w:ascii="Helvetica" w:eastAsia="Times New Roman" w:hAnsi="Helvetica" w:cs="Helvetica"/>
                            <w:color w:val="303030"/>
                            <w:sz w:val="23"/>
                            <w:szCs w:val="23"/>
                            <w:lang w:eastAsia="en-AU"/>
                          </w:rPr>
                          <w:lastRenderedPageBreak/>
                          <w:t>overseas countries</w:t>
                        </w:r>
                      </w:p>
                      <w:p w:rsidR="007F0526" w:rsidRPr="007F0526" w:rsidRDefault="007F0526" w:rsidP="007F0526">
                        <w:pPr>
                          <w:numPr>
                            <w:ilvl w:val="0"/>
                            <w:numId w:val="1"/>
                          </w:numPr>
                          <w:spacing w:before="100" w:beforeAutospacing="1" w:after="100" w:afterAutospacing="1" w:line="338" w:lineRule="atLeast"/>
                          <w:rPr>
                            <w:rFonts w:ascii="Helvetica" w:eastAsia="Times New Roman" w:hAnsi="Helvetica" w:cs="Helvetica"/>
                            <w:color w:val="303030"/>
                            <w:sz w:val="23"/>
                            <w:szCs w:val="23"/>
                            <w:lang w:eastAsia="en-AU"/>
                          </w:rPr>
                        </w:pPr>
                        <w:r w:rsidRPr="007F0526">
                          <w:rPr>
                            <w:rFonts w:ascii="Helvetica" w:eastAsia="Times New Roman" w:hAnsi="Helvetica" w:cs="Helvetica"/>
                            <w:color w:val="303030"/>
                            <w:sz w:val="23"/>
                            <w:szCs w:val="23"/>
                            <w:lang w:eastAsia="en-AU"/>
                          </w:rPr>
                          <w:t>prepares and certifies power of attorney, wills, deeds, contracts and other legal documents, for use in Australia and overseas countries</w:t>
                        </w:r>
                      </w:p>
                      <w:p w:rsidR="007F0526" w:rsidRPr="007F0526" w:rsidRDefault="007F0526" w:rsidP="007F0526">
                        <w:pPr>
                          <w:numPr>
                            <w:ilvl w:val="0"/>
                            <w:numId w:val="1"/>
                          </w:numPr>
                          <w:spacing w:before="100" w:beforeAutospacing="1" w:after="100" w:afterAutospacing="1" w:line="338" w:lineRule="atLeast"/>
                          <w:rPr>
                            <w:rFonts w:ascii="Helvetica" w:eastAsia="Times New Roman" w:hAnsi="Helvetica" w:cs="Helvetica"/>
                            <w:color w:val="303030"/>
                            <w:sz w:val="23"/>
                            <w:szCs w:val="23"/>
                            <w:lang w:eastAsia="en-AU"/>
                          </w:rPr>
                        </w:pPr>
                        <w:r w:rsidRPr="007F0526">
                          <w:rPr>
                            <w:rFonts w:ascii="Helvetica" w:eastAsia="Times New Roman" w:hAnsi="Helvetica" w:cs="Helvetica"/>
                            <w:color w:val="303030"/>
                            <w:sz w:val="23"/>
                            <w:szCs w:val="23"/>
                            <w:lang w:eastAsia="en-AU"/>
                          </w:rPr>
                          <w:t>administers oaths for Australian and international documents</w:t>
                        </w:r>
                      </w:p>
                      <w:p w:rsidR="007F0526" w:rsidRPr="007F0526" w:rsidRDefault="007F0526" w:rsidP="007F0526">
                        <w:pPr>
                          <w:numPr>
                            <w:ilvl w:val="0"/>
                            <w:numId w:val="1"/>
                          </w:numPr>
                          <w:spacing w:before="100" w:beforeAutospacing="1" w:after="100" w:afterAutospacing="1" w:line="338" w:lineRule="atLeast"/>
                          <w:rPr>
                            <w:rFonts w:ascii="Helvetica" w:eastAsia="Times New Roman" w:hAnsi="Helvetica" w:cs="Helvetica"/>
                            <w:color w:val="303030"/>
                            <w:sz w:val="23"/>
                            <w:szCs w:val="23"/>
                            <w:lang w:eastAsia="en-AU"/>
                          </w:rPr>
                        </w:pPr>
                        <w:r w:rsidRPr="007F0526">
                          <w:rPr>
                            <w:rFonts w:ascii="Helvetica" w:eastAsia="Times New Roman" w:hAnsi="Helvetica" w:cs="Helvetica"/>
                            <w:color w:val="303030"/>
                            <w:sz w:val="23"/>
                            <w:szCs w:val="23"/>
                            <w:lang w:eastAsia="en-AU"/>
                          </w:rPr>
                          <w:t>witnesses signatures to affidavits, statutory declarations, powers of attorney, contracts, and other documents, for use in Australia and overseas countries</w:t>
                        </w:r>
                      </w:p>
                      <w:p w:rsidR="007F0526" w:rsidRPr="007F0526" w:rsidRDefault="007F0526" w:rsidP="007F0526">
                        <w:pPr>
                          <w:numPr>
                            <w:ilvl w:val="0"/>
                            <w:numId w:val="1"/>
                          </w:numPr>
                          <w:spacing w:before="100" w:beforeAutospacing="1" w:after="100" w:afterAutospacing="1" w:line="338" w:lineRule="atLeast"/>
                          <w:rPr>
                            <w:rFonts w:ascii="Helvetica" w:eastAsia="Times New Roman" w:hAnsi="Helvetica" w:cs="Helvetica"/>
                            <w:color w:val="303030"/>
                            <w:sz w:val="23"/>
                            <w:szCs w:val="23"/>
                            <w:lang w:eastAsia="en-AU"/>
                          </w:rPr>
                        </w:pPr>
                        <w:r w:rsidRPr="007F0526">
                          <w:rPr>
                            <w:rFonts w:ascii="Helvetica" w:eastAsia="Times New Roman" w:hAnsi="Helvetica" w:cs="Helvetica"/>
                            <w:color w:val="303030"/>
                            <w:sz w:val="23"/>
                            <w:szCs w:val="23"/>
                            <w:lang w:eastAsia="en-AU"/>
                          </w:rPr>
                          <w:t>verifies documents for use in Australia and overseas countries</w:t>
                        </w:r>
                      </w:p>
                      <w:p w:rsidR="007F0526" w:rsidRPr="007F0526" w:rsidRDefault="007F0526" w:rsidP="007F0526">
                        <w:pPr>
                          <w:numPr>
                            <w:ilvl w:val="0"/>
                            <w:numId w:val="1"/>
                          </w:numPr>
                          <w:spacing w:before="100" w:beforeAutospacing="1" w:after="100" w:afterAutospacing="1" w:line="338" w:lineRule="atLeast"/>
                          <w:rPr>
                            <w:rFonts w:ascii="Helvetica" w:eastAsia="Times New Roman" w:hAnsi="Helvetica" w:cs="Helvetica"/>
                            <w:color w:val="303030"/>
                            <w:sz w:val="23"/>
                            <w:szCs w:val="23"/>
                            <w:lang w:eastAsia="en-AU"/>
                          </w:rPr>
                        </w:pPr>
                        <w:r w:rsidRPr="007F0526">
                          <w:rPr>
                            <w:rFonts w:ascii="Helvetica" w:eastAsia="Times New Roman" w:hAnsi="Helvetica" w:cs="Helvetica"/>
                            <w:color w:val="303030"/>
                            <w:sz w:val="23"/>
                            <w:szCs w:val="23"/>
                            <w:lang w:eastAsia="en-AU"/>
                          </w:rPr>
                          <w:t>certifies copy documents for use in Australia and overseas countries</w:t>
                        </w:r>
                      </w:p>
                      <w:p w:rsidR="007F0526" w:rsidRPr="007F0526" w:rsidRDefault="007F0526" w:rsidP="007F0526">
                        <w:pPr>
                          <w:numPr>
                            <w:ilvl w:val="0"/>
                            <w:numId w:val="1"/>
                          </w:numPr>
                          <w:spacing w:before="100" w:beforeAutospacing="1" w:after="100" w:afterAutospacing="1" w:line="338" w:lineRule="atLeast"/>
                          <w:rPr>
                            <w:rFonts w:ascii="Helvetica" w:eastAsia="Times New Roman" w:hAnsi="Helvetica" w:cs="Helvetica"/>
                            <w:color w:val="303030"/>
                            <w:sz w:val="23"/>
                            <w:szCs w:val="23"/>
                            <w:lang w:eastAsia="en-AU"/>
                          </w:rPr>
                        </w:pPr>
                        <w:r w:rsidRPr="007F0526">
                          <w:rPr>
                            <w:rFonts w:ascii="Helvetica" w:eastAsia="Times New Roman" w:hAnsi="Helvetica" w:cs="Helvetica"/>
                            <w:color w:val="303030"/>
                            <w:sz w:val="23"/>
                            <w:szCs w:val="23"/>
                            <w:lang w:eastAsia="en-AU"/>
                          </w:rPr>
                          <w:t>exemplifies official documents for use internationally</w:t>
                        </w:r>
                      </w:p>
                      <w:p w:rsidR="007F0526" w:rsidRPr="007F0526" w:rsidRDefault="007F0526" w:rsidP="007F0526">
                        <w:pPr>
                          <w:numPr>
                            <w:ilvl w:val="0"/>
                            <w:numId w:val="1"/>
                          </w:numPr>
                          <w:spacing w:before="100" w:beforeAutospacing="1" w:after="100" w:afterAutospacing="1" w:line="338" w:lineRule="atLeast"/>
                          <w:rPr>
                            <w:rFonts w:ascii="Helvetica" w:eastAsia="Times New Roman" w:hAnsi="Helvetica" w:cs="Helvetica"/>
                            <w:color w:val="303030"/>
                            <w:sz w:val="23"/>
                            <w:szCs w:val="23"/>
                            <w:lang w:eastAsia="en-AU"/>
                          </w:rPr>
                        </w:pPr>
                        <w:r w:rsidRPr="007F0526">
                          <w:rPr>
                            <w:rFonts w:ascii="Helvetica" w:eastAsia="Times New Roman" w:hAnsi="Helvetica" w:cs="Helvetica"/>
                            <w:color w:val="303030"/>
                            <w:sz w:val="23"/>
                            <w:szCs w:val="23"/>
                            <w:lang w:eastAsia="en-AU"/>
                          </w:rPr>
                          <w:t>notes and protests bills of exchange</w:t>
                        </w:r>
                      </w:p>
                      <w:p w:rsidR="007F0526" w:rsidRPr="007F0526" w:rsidRDefault="007F0526" w:rsidP="007F0526">
                        <w:pPr>
                          <w:numPr>
                            <w:ilvl w:val="0"/>
                            <w:numId w:val="1"/>
                          </w:numPr>
                          <w:spacing w:before="100" w:beforeAutospacing="1" w:after="100" w:afterAutospacing="1" w:line="338" w:lineRule="atLeast"/>
                          <w:rPr>
                            <w:rFonts w:ascii="Helvetica" w:eastAsia="Times New Roman" w:hAnsi="Helvetica" w:cs="Helvetica"/>
                            <w:color w:val="303030"/>
                            <w:sz w:val="23"/>
                            <w:szCs w:val="23"/>
                            <w:lang w:eastAsia="en-AU"/>
                          </w:rPr>
                        </w:pPr>
                        <w:r w:rsidRPr="007F0526">
                          <w:rPr>
                            <w:rFonts w:ascii="Helvetica" w:eastAsia="Times New Roman" w:hAnsi="Helvetica" w:cs="Helvetica"/>
                            <w:color w:val="303030"/>
                            <w:sz w:val="23"/>
                            <w:szCs w:val="23"/>
                            <w:lang w:eastAsia="en-AU"/>
                          </w:rPr>
                          <w:t>prepares ships' protests</w:t>
                        </w:r>
                      </w:p>
                      <w:p w:rsidR="007F0526" w:rsidRPr="007F0526" w:rsidRDefault="007F0526" w:rsidP="007F0526">
                        <w:pPr>
                          <w:spacing w:after="0" w:line="338" w:lineRule="atLeast"/>
                          <w:rPr>
                            <w:rFonts w:ascii="Helvetica" w:eastAsia="Times New Roman" w:hAnsi="Helvetica" w:cs="Helvetica"/>
                            <w:color w:val="303030"/>
                            <w:sz w:val="23"/>
                            <w:szCs w:val="23"/>
                            <w:lang w:eastAsia="en-AU"/>
                          </w:rPr>
                        </w:pPr>
                        <w:r w:rsidRPr="007F0526">
                          <w:rPr>
                            <w:rFonts w:ascii="Helvetica" w:eastAsia="Times New Roman" w:hAnsi="Helvetica" w:cs="Helvetica"/>
                            <w:color w:val="303030"/>
                            <w:sz w:val="23"/>
                            <w:szCs w:val="23"/>
                            <w:lang w:eastAsia="en-AU"/>
                          </w:rPr>
                          <w:t>We look forward to assisting you in the future.</w:t>
                        </w:r>
                      </w:p>
                    </w:tc>
                  </w:tr>
                </w:tbl>
                <w:p w:rsidR="007F0526" w:rsidRPr="007F0526" w:rsidRDefault="007F0526" w:rsidP="007F0526">
                  <w:pPr>
                    <w:spacing w:after="0" w:line="240" w:lineRule="auto"/>
                    <w:jc w:val="center"/>
                    <w:rPr>
                      <w:rFonts w:ascii="Times New Roman" w:eastAsia="Times New Roman" w:hAnsi="Times New Roman" w:cs="Times New Roman"/>
                      <w:sz w:val="24"/>
                      <w:szCs w:val="24"/>
                      <w:lang w:eastAsia="en-AU"/>
                    </w:rPr>
                  </w:pPr>
                </w:p>
              </w:tc>
            </w:tr>
          </w:tbl>
          <w:p w:rsidR="007F0526" w:rsidRPr="007F0526" w:rsidRDefault="007F0526" w:rsidP="007F0526">
            <w:pPr>
              <w:spacing w:after="0" w:line="240" w:lineRule="auto"/>
              <w:jc w:val="center"/>
              <w:rPr>
                <w:rFonts w:ascii="Times New Roman" w:eastAsia="Times New Roman" w:hAnsi="Times New Roman" w:cs="Times New Roman"/>
                <w:color w:val="000000"/>
                <w:sz w:val="27"/>
                <w:szCs w:val="27"/>
                <w:lang w:eastAsia="en-AU"/>
              </w:rPr>
            </w:pPr>
          </w:p>
        </w:tc>
      </w:tr>
    </w:tbl>
    <w:p w:rsidR="00B45599" w:rsidRDefault="00B45599"/>
    <w:sectPr w:rsidR="00B455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B85BE7"/>
    <w:multiLevelType w:val="multilevel"/>
    <w:tmpl w:val="0282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526"/>
    <w:rsid w:val="007F0526"/>
    <w:rsid w:val="00B455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DB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05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5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05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5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64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325</Words>
  <Characters>1857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 Legal1</dc:creator>
  <cp:lastModifiedBy>Para Legal1</cp:lastModifiedBy>
  <cp:revision>1</cp:revision>
  <dcterms:created xsi:type="dcterms:W3CDTF">2016-08-23T01:08:00Z</dcterms:created>
  <dcterms:modified xsi:type="dcterms:W3CDTF">2016-08-23T01:09:00Z</dcterms:modified>
</cp:coreProperties>
</file>