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0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9015"/>
      </w:tblGrid>
      <w:tr w:rsidR="00CD030A" w:rsidRPr="00CD030A" w:rsidTr="00CD030A">
        <w:tc>
          <w:tcPr>
            <w:tcW w:w="0" w:type="auto"/>
            <w:shd w:val="clear" w:color="auto" w:fill="FFFFFF"/>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CD030A" w:rsidRPr="00CD030A">
              <w:trPr>
                <w:jc w:val="center"/>
              </w:trPr>
              <w:tc>
                <w:tcPr>
                  <w:tcW w:w="0" w:type="auto"/>
                  <w:shd w:val="clear" w:color="auto" w:fill="FFFFFF"/>
                  <w:vAlign w:val="center"/>
                  <w:hideMark/>
                </w:tcPr>
                <w:p w:rsidR="00CD030A" w:rsidRPr="00CD030A" w:rsidRDefault="00CD030A" w:rsidP="00CD030A">
                  <w:pPr>
                    <w:spacing w:after="0" w:line="510" w:lineRule="atLeast"/>
                    <w:jc w:val="center"/>
                    <w:rPr>
                      <w:rFonts w:ascii="Arial" w:eastAsia="Times New Roman" w:hAnsi="Arial" w:cs="Arial"/>
                      <w:b/>
                      <w:bCs/>
                      <w:color w:val="202020"/>
                      <w:sz w:val="51"/>
                      <w:szCs w:val="51"/>
                      <w:lang w:eastAsia="en-AU"/>
                    </w:rPr>
                  </w:pPr>
                  <w:r>
                    <w:rPr>
                      <w:rFonts w:ascii="Arial" w:eastAsia="Times New Roman" w:hAnsi="Arial" w:cs="Arial"/>
                      <w:b/>
                      <w:bCs/>
                      <w:noProof/>
                      <w:color w:val="202020"/>
                      <w:sz w:val="51"/>
                      <w:szCs w:val="51"/>
                      <w:lang w:eastAsia="en-AU"/>
                    </w:rPr>
                    <w:drawing>
                      <wp:inline distT="0" distB="0" distL="0" distR="0">
                        <wp:extent cx="5715000" cy="2581275"/>
                        <wp:effectExtent l="0" t="0" r="0" b="9525"/>
                        <wp:docPr id="3" name="Picture 3" descr="https://gallery.mailchimp.com/d7ac35d590989fce96f6014e9/images/bed454f5-374e-46e6-a733-ff8ea43181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d7ac35d590989fce96f6014e9/images/bed454f5-374e-46e6-a733-ff8ea431817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581275"/>
                                </a:xfrm>
                                <a:prstGeom prst="rect">
                                  <a:avLst/>
                                </a:prstGeom>
                                <a:noFill/>
                                <a:ln>
                                  <a:noFill/>
                                </a:ln>
                              </pic:spPr>
                            </pic:pic>
                          </a:graphicData>
                        </a:graphic>
                      </wp:inline>
                    </w:drawing>
                  </w:r>
                </w:p>
              </w:tc>
            </w:tr>
          </w:tbl>
          <w:p w:rsidR="00CD030A" w:rsidRPr="00CD030A" w:rsidRDefault="00CD030A" w:rsidP="00CD030A">
            <w:pPr>
              <w:spacing w:after="0" w:line="240" w:lineRule="auto"/>
              <w:jc w:val="center"/>
              <w:rPr>
                <w:rFonts w:ascii="Times New Roman" w:eastAsia="Times New Roman" w:hAnsi="Times New Roman" w:cs="Times New Roman"/>
                <w:color w:val="000000"/>
                <w:sz w:val="27"/>
                <w:szCs w:val="27"/>
                <w:lang w:eastAsia="en-AU"/>
              </w:rPr>
            </w:pPr>
          </w:p>
        </w:tc>
      </w:tr>
      <w:tr w:rsidR="00CD030A" w:rsidRPr="00CD030A" w:rsidTr="00CD030A">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CD030A" w:rsidRPr="00CD030A">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CD030A" w:rsidRPr="00CD030A">
                    <w:tc>
                      <w:tcPr>
                        <w:tcW w:w="0" w:type="auto"/>
                        <w:hideMark/>
                      </w:tcPr>
                      <w:tbl>
                        <w:tblPr>
                          <w:tblW w:w="5000" w:type="pct"/>
                          <w:tblCellMar>
                            <w:top w:w="300" w:type="dxa"/>
                            <w:left w:w="300" w:type="dxa"/>
                            <w:bottom w:w="300" w:type="dxa"/>
                            <w:right w:w="300" w:type="dxa"/>
                          </w:tblCellMar>
                          <w:tblLook w:val="04A0" w:firstRow="1" w:lastRow="0" w:firstColumn="1" w:lastColumn="0" w:noHBand="0" w:noVBand="1"/>
                        </w:tblPr>
                        <w:tblGrid>
                          <w:gridCol w:w="9000"/>
                        </w:tblGrid>
                        <w:tr w:rsidR="00CD030A" w:rsidRPr="00CD030A">
                          <w:tc>
                            <w:tcPr>
                              <w:tcW w:w="0" w:type="auto"/>
                              <w:hideMark/>
                            </w:tcPr>
                            <w:p w:rsidR="00CD030A" w:rsidRPr="00CD030A" w:rsidRDefault="00CD030A" w:rsidP="00CD030A">
                              <w:pPr>
                                <w:spacing w:after="150" w:line="510" w:lineRule="atLeast"/>
                                <w:outlineLvl w:val="0"/>
                                <w:rPr>
                                  <w:rFonts w:ascii="Arial" w:eastAsia="Times New Roman" w:hAnsi="Arial" w:cs="Arial"/>
                                  <w:color w:val="2A3994"/>
                                  <w:kern w:val="36"/>
                                  <w:sz w:val="51"/>
                                  <w:szCs w:val="51"/>
                                  <w:lang w:eastAsia="en-AU"/>
                                </w:rPr>
                              </w:pPr>
                              <w:r w:rsidRPr="00CD030A">
                                <w:rPr>
                                  <w:rFonts w:ascii="Arial" w:eastAsia="Times New Roman" w:hAnsi="Arial" w:cs="Arial"/>
                                  <w:color w:val="2A3994"/>
                                  <w:kern w:val="36"/>
                                  <w:sz w:val="51"/>
                                  <w:szCs w:val="51"/>
                                  <w:lang w:eastAsia="en-AU"/>
                                </w:rPr>
                                <w:t>May 2016 Newsletter</w:t>
                              </w:r>
                            </w:p>
                            <w:p w:rsidR="00CD030A" w:rsidRPr="00CD030A" w:rsidRDefault="00CD030A" w:rsidP="00CD030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drawing>
                                  <wp:inline distT="0" distB="0" distL="0" distR="0">
                                    <wp:extent cx="5334000" cy="3981450"/>
                                    <wp:effectExtent l="0" t="0" r="0" b="0"/>
                                    <wp:docPr id="2" name="Picture 2" descr="https://gallery.mailchimp.com/d7ac35d590989fce96f6014e9/images/c48893b8-f53d-4e9a-8345-6d066df478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d7ac35d590989fce96f6014e9/images/c48893b8-f53d-4e9a-8345-6d066df478d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0" cy="3981450"/>
                                            </a:xfrm>
                                            <a:prstGeom prst="rect">
                                              <a:avLst/>
                                            </a:prstGeom>
                                            <a:noFill/>
                                            <a:ln>
                                              <a:noFill/>
                                            </a:ln>
                                          </pic:spPr>
                                        </pic:pic>
                                      </a:graphicData>
                                    </a:graphic>
                                  </wp:inline>
                                </w:drawing>
                              </w:r>
                            </w:p>
                            <w:p w:rsidR="00CD030A" w:rsidRPr="00CD030A" w:rsidRDefault="00CD030A" w:rsidP="00CD030A">
                              <w:pPr>
                                <w:spacing w:after="150" w:line="510" w:lineRule="atLeast"/>
                                <w:outlineLvl w:val="0"/>
                                <w:rPr>
                                  <w:rFonts w:ascii="Arial" w:eastAsia="Times New Roman" w:hAnsi="Arial" w:cs="Arial"/>
                                  <w:color w:val="2A3994"/>
                                  <w:kern w:val="36"/>
                                  <w:sz w:val="51"/>
                                  <w:szCs w:val="51"/>
                                  <w:lang w:eastAsia="en-AU"/>
                                </w:rPr>
                              </w:pPr>
                              <w:r w:rsidRPr="00CD030A">
                                <w:rPr>
                                  <w:rFonts w:ascii="Arial" w:eastAsia="Times New Roman" w:hAnsi="Arial" w:cs="Arial"/>
                                  <w:color w:val="2A3994"/>
                                  <w:kern w:val="36"/>
                                  <w:sz w:val="51"/>
                                  <w:szCs w:val="51"/>
                                  <w:lang w:eastAsia="en-AU"/>
                                </w:rPr>
                                <w:t> </w:t>
                              </w:r>
                            </w:p>
                            <w:p w:rsidR="00CD030A" w:rsidRPr="00CD030A" w:rsidRDefault="00CD030A" w:rsidP="00CD030A">
                              <w:pPr>
                                <w:spacing w:after="150" w:line="330" w:lineRule="atLeast"/>
                                <w:outlineLvl w:val="3"/>
                                <w:rPr>
                                  <w:rFonts w:ascii="Arial" w:eastAsia="Times New Roman" w:hAnsi="Arial" w:cs="Arial"/>
                                  <w:color w:val="000000"/>
                                  <w:sz w:val="33"/>
                                  <w:szCs w:val="33"/>
                                  <w:lang w:eastAsia="en-AU"/>
                                </w:rPr>
                              </w:pPr>
                              <w:r w:rsidRPr="00CD030A">
                                <w:rPr>
                                  <w:rFonts w:ascii="Arial" w:eastAsia="Times New Roman" w:hAnsi="Arial" w:cs="Arial"/>
                                  <w:color w:val="000000"/>
                                  <w:sz w:val="33"/>
                                  <w:szCs w:val="33"/>
                                  <w:lang w:eastAsia="en-AU"/>
                                </w:rPr>
                                <w:t>Things to Consider before renovating your Apartment or Townhouse</w:t>
                              </w:r>
                            </w:p>
                            <w:p w:rsidR="00CD030A" w:rsidRPr="00CD030A" w:rsidRDefault="00CD030A" w:rsidP="00CD030A">
                              <w:pPr>
                                <w:spacing w:after="0" w:line="315" w:lineRule="atLeast"/>
                                <w:rPr>
                                  <w:rFonts w:ascii="Arial" w:eastAsia="Times New Roman" w:hAnsi="Arial" w:cs="Arial"/>
                                  <w:color w:val="414141"/>
                                  <w:sz w:val="21"/>
                                  <w:szCs w:val="21"/>
                                  <w:lang w:eastAsia="en-AU"/>
                                </w:rPr>
                              </w:pPr>
                              <w:r w:rsidRPr="00CD030A">
                                <w:rPr>
                                  <w:rFonts w:ascii="Arial" w:eastAsia="Times New Roman" w:hAnsi="Arial" w:cs="Arial"/>
                                  <w:color w:val="414141"/>
                                  <w:sz w:val="21"/>
                                  <w:szCs w:val="21"/>
                                  <w:lang w:eastAsia="en-AU"/>
                                </w:rPr>
                                <w:t> </w:t>
                              </w:r>
                              <w:r w:rsidRPr="00CD030A">
                                <w:rPr>
                                  <w:rFonts w:ascii="Arial" w:eastAsia="Times New Roman" w:hAnsi="Arial" w:cs="Arial"/>
                                  <w:color w:val="414141"/>
                                  <w:sz w:val="21"/>
                                  <w:szCs w:val="21"/>
                                  <w:lang w:eastAsia="en-AU"/>
                                </w:rPr>
                                <w:br/>
                              </w:r>
                              <w:r w:rsidRPr="00CD030A">
                                <w:rPr>
                                  <w:rFonts w:ascii="Arial" w:eastAsia="Times New Roman" w:hAnsi="Arial" w:cs="Arial"/>
                                  <w:color w:val="414141"/>
                                  <w:sz w:val="21"/>
                                  <w:szCs w:val="21"/>
                                  <w:lang w:eastAsia="en-AU"/>
                                </w:rPr>
                                <w:lastRenderedPageBreak/>
                                <w:t>If you are planning to renovate your apartment or townhouse that is part of a strata scheme, you are required to notify the Owners Corporation of any potential structural changes to the property by no later than 14 days before commencement of the work, pursuant to section 116(2) of </w:t>
                              </w:r>
                              <w:r w:rsidRPr="00CD030A">
                                <w:rPr>
                                  <w:rFonts w:ascii="Arial" w:eastAsia="Times New Roman" w:hAnsi="Arial" w:cs="Arial"/>
                                  <w:i/>
                                  <w:iCs/>
                                  <w:color w:val="414141"/>
                                  <w:sz w:val="21"/>
                                  <w:szCs w:val="21"/>
                                  <w:lang w:eastAsia="en-AU"/>
                                </w:rPr>
                                <w:t>Strata Schemes Management Act</w:t>
                              </w:r>
                              <w:r w:rsidRPr="00CD030A">
                                <w:rPr>
                                  <w:rFonts w:ascii="Arial" w:eastAsia="Times New Roman" w:hAnsi="Arial" w:cs="Arial"/>
                                  <w:color w:val="414141"/>
                                  <w:sz w:val="21"/>
                                  <w:szCs w:val="21"/>
                                  <w:lang w:eastAsia="en-AU"/>
                                </w:rPr>
                                <w:t> 1996.</w:t>
                              </w:r>
                              <w:r w:rsidRPr="00CD030A">
                                <w:rPr>
                                  <w:rFonts w:ascii="Arial" w:eastAsia="Times New Roman" w:hAnsi="Arial" w:cs="Arial"/>
                                  <w:color w:val="414141"/>
                                  <w:sz w:val="21"/>
                                  <w:szCs w:val="21"/>
                                  <w:lang w:eastAsia="en-AU"/>
                                </w:rPr>
                                <w:br/>
                                <w:t> </w:t>
                              </w:r>
                              <w:r w:rsidRPr="00CD030A">
                                <w:rPr>
                                  <w:rFonts w:ascii="Arial" w:eastAsia="Times New Roman" w:hAnsi="Arial" w:cs="Arial"/>
                                  <w:color w:val="414141"/>
                                  <w:sz w:val="21"/>
                                  <w:szCs w:val="21"/>
                                  <w:lang w:eastAsia="en-AU"/>
                                </w:rPr>
                                <w:br/>
                              </w:r>
                              <w:r w:rsidRPr="00CD030A">
                                <w:rPr>
                                  <w:rFonts w:ascii="Arial" w:eastAsia="Times New Roman" w:hAnsi="Arial" w:cs="Arial"/>
                                  <w:b/>
                                  <w:bCs/>
                                  <w:i/>
                                  <w:iCs/>
                                  <w:color w:val="414141"/>
                                  <w:sz w:val="21"/>
                                  <w:szCs w:val="21"/>
                                  <w:lang w:eastAsia="en-AU"/>
                                </w:rPr>
                                <w:t>The Law</w:t>
                              </w:r>
                              <w:r w:rsidRPr="00CD030A">
                                <w:rPr>
                                  <w:rFonts w:ascii="Arial" w:eastAsia="Times New Roman" w:hAnsi="Arial" w:cs="Arial"/>
                                  <w:color w:val="414141"/>
                                  <w:sz w:val="21"/>
                                  <w:szCs w:val="21"/>
                                  <w:lang w:eastAsia="en-AU"/>
                                </w:rPr>
                                <w:br/>
                              </w:r>
                              <w:r w:rsidRPr="00CD030A">
                                <w:rPr>
                                  <w:rFonts w:ascii="Arial" w:eastAsia="Times New Roman" w:hAnsi="Arial" w:cs="Arial"/>
                                  <w:color w:val="414141"/>
                                  <w:sz w:val="21"/>
                                  <w:szCs w:val="21"/>
                                  <w:lang w:eastAsia="en-AU"/>
                                </w:rPr>
                                <w:br/>
                                <w:t>Section 116(2) of the Strata Schemes Management Act 1996 states that:</w:t>
                              </w:r>
                              <w:r w:rsidRPr="00CD030A">
                                <w:rPr>
                                  <w:rFonts w:ascii="Arial" w:eastAsia="Times New Roman" w:hAnsi="Arial" w:cs="Arial"/>
                                  <w:color w:val="414141"/>
                                  <w:sz w:val="21"/>
                                  <w:szCs w:val="21"/>
                                  <w:lang w:eastAsia="en-AU"/>
                                </w:rPr>
                                <w:br/>
                              </w:r>
                              <w:r w:rsidRPr="00CD030A">
                                <w:rPr>
                                  <w:rFonts w:ascii="Arial" w:eastAsia="Times New Roman" w:hAnsi="Arial" w:cs="Arial"/>
                                  <w:i/>
                                  <w:iCs/>
                                  <w:color w:val="414141"/>
                                  <w:sz w:val="21"/>
                                  <w:szCs w:val="21"/>
                                  <w:lang w:eastAsia="en-AU"/>
                                </w:rPr>
                                <w:t>The owner of a lot must not alter the structure of the lot without giving to the owners corporation, not later than 14 days before commencement of the alteration, a written notice describing the proposed alteration. </w:t>
                              </w:r>
                              <w:r w:rsidRPr="00CD030A">
                                <w:rPr>
                                  <w:rFonts w:ascii="Arial" w:eastAsia="Times New Roman" w:hAnsi="Arial" w:cs="Arial"/>
                                  <w:color w:val="414141"/>
                                  <w:sz w:val="21"/>
                                  <w:szCs w:val="21"/>
                                  <w:lang w:eastAsia="en-AU"/>
                                </w:rPr>
                                <w:br/>
                                <w:t> </w:t>
                              </w:r>
                              <w:r w:rsidRPr="00CD030A">
                                <w:rPr>
                                  <w:rFonts w:ascii="Arial" w:eastAsia="Times New Roman" w:hAnsi="Arial" w:cs="Arial"/>
                                  <w:color w:val="414141"/>
                                  <w:sz w:val="21"/>
                                  <w:szCs w:val="21"/>
                                  <w:lang w:eastAsia="en-AU"/>
                                </w:rPr>
                                <w:br/>
                              </w:r>
                              <w:r w:rsidRPr="00CD030A">
                                <w:rPr>
                                  <w:rFonts w:ascii="Arial" w:eastAsia="Times New Roman" w:hAnsi="Arial" w:cs="Arial"/>
                                  <w:b/>
                                  <w:bCs/>
                                  <w:i/>
                                  <w:iCs/>
                                  <w:color w:val="414141"/>
                                  <w:sz w:val="21"/>
                                  <w:szCs w:val="21"/>
                                  <w:lang w:eastAsia="en-AU"/>
                                </w:rPr>
                                <w:t>Notice</w:t>
                              </w:r>
                              <w:r w:rsidRPr="00CD030A">
                                <w:rPr>
                                  <w:rFonts w:ascii="Arial" w:eastAsia="Times New Roman" w:hAnsi="Arial" w:cs="Arial"/>
                                  <w:color w:val="414141"/>
                                  <w:sz w:val="21"/>
                                  <w:szCs w:val="21"/>
                                  <w:lang w:eastAsia="en-AU"/>
                                </w:rPr>
                                <w:br/>
                              </w:r>
                              <w:r w:rsidRPr="00CD030A">
                                <w:rPr>
                                  <w:rFonts w:ascii="Arial" w:eastAsia="Times New Roman" w:hAnsi="Arial" w:cs="Arial"/>
                                  <w:color w:val="414141"/>
                                  <w:sz w:val="21"/>
                                  <w:szCs w:val="21"/>
                                  <w:lang w:eastAsia="en-AU"/>
                                </w:rPr>
                                <w:br/>
                                <w:t>A notice must be in writing, addressed to the Owners Corporation, and contain a description of proposed works that you are intending to carry out at your property.</w:t>
                              </w:r>
                              <w:r w:rsidRPr="00CD030A">
                                <w:rPr>
                                  <w:rFonts w:ascii="Arial" w:eastAsia="Times New Roman" w:hAnsi="Arial" w:cs="Arial"/>
                                  <w:color w:val="414141"/>
                                  <w:sz w:val="21"/>
                                  <w:szCs w:val="21"/>
                                  <w:lang w:eastAsia="en-AU"/>
                                </w:rPr>
                                <w:br/>
                                <w:t>Your first step is to contact the strata managing agent and enquire as to the further steps you need to take to serve a </w:t>
                              </w:r>
                              <w:r w:rsidRPr="00CD030A">
                                <w:rPr>
                                  <w:rFonts w:ascii="Arial" w:eastAsia="Times New Roman" w:hAnsi="Arial" w:cs="Arial"/>
                                  <w:i/>
                                  <w:iCs/>
                                  <w:color w:val="414141"/>
                                  <w:sz w:val="21"/>
                                  <w:szCs w:val="21"/>
                                  <w:lang w:eastAsia="en-AU"/>
                                </w:rPr>
                                <w:t>valid</w:t>
                              </w:r>
                              <w:r w:rsidRPr="00CD030A">
                                <w:rPr>
                                  <w:rFonts w:ascii="Arial" w:eastAsia="Times New Roman" w:hAnsi="Arial" w:cs="Arial"/>
                                  <w:color w:val="414141"/>
                                  <w:sz w:val="21"/>
                                  <w:szCs w:val="21"/>
                                  <w:lang w:eastAsia="en-AU"/>
                                </w:rPr>
                                <w:t> notice on the Owners Corporation.</w:t>
                              </w:r>
                              <w:r w:rsidRPr="00CD030A">
                                <w:rPr>
                                  <w:rFonts w:ascii="Arial" w:eastAsia="Times New Roman" w:hAnsi="Arial" w:cs="Arial"/>
                                  <w:color w:val="414141"/>
                                  <w:sz w:val="21"/>
                                  <w:szCs w:val="21"/>
                                  <w:lang w:eastAsia="en-AU"/>
                                </w:rPr>
                                <w:br/>
                                <w:t> </w:t>
                              </w:r>
                              <w:r w:rsidRPr="00CD030A">
                                <w:rPr>
                                  <w:rFonts w:ascii="Arial" w:eastAsia="Times New Roman" w:hAnsi="Arial" w:cs="Arial"/>
                                  <w:color w:val="414141"/>
                                  <w:sz w:val="21"/>
                                  <w:szCs w:val="21"/>
                                  <w:lang w:eastAsia="en-AU"/>
                                </w:rPr>
                                <w:br/>
                              </w:r>
                              <w:r w:rsidRPr="00CD030A">
                                <w:rPr>
                                  <w:rFonts w:ascii="Arial" w:eastAsia="Times New Roman" w:hAnsi="Arial" w:cs="Arial"/>
                                  <w:b/>
                                  <w:bCs/>
                                  <w:i/>
                                  <w:iCs/>
                                  <w:color w:val="414141"/>
                                  <w:sz w:val="21"/>
                                  <w:szCs w:val="21"/>
                                  <w:lang w:eastAsia="en-AU"/>
                                </w:rPr>
                                <w:t>Structural Changes</w:t>
                              </w:r>
                              <w:r w:rsidRPr="00CD030A">
                                <w:rPr>
                                  <w:rFonts w:ascii="Arial" w:eastAsia="Times New Roman" w:hAnsi="Arial" w:cs="Arial"/>
                                  <w:color w:val="414141"/>
                                  <w:sz w:val="21"/>
                                  <w:szCs w:val="21"/>
                                  <w:lang w:eastAsia="en-AU"/>
                                </w:rPr>
                                <w:br/>
                              </w:r>
                              <w:r w:rsidRPr="00CD030A">
                                <w:rPr>
                                  <w:rFonts w:ascii="Arial" w:eastAsia="Times New Roman" w:hAnsi="Arial" w:cs="Arial"/>
                                  <w:color w:val="414141"/>
                                  <w:sz w:val="21"/>
                                  <w:szCs w:val="21"/>
                                  <w:lang w:eastAsia="en-AU"/>
                                </w:rPr>
                                <w:br/>
                                <w:t>The law requires you to notify the Owners Corporation if your renovation works will make any </w:t>
                              </w:r>
                              <w:r w:rsidRPr="00CD030A">
                                <w:rPr>
                                  <w:rFonts w:ascii="Arial" w:eastAsia="Times New Roman" w:hAnsi="Arial" w:cs="Arial"/>
                                  <w:i/>
                                  <w:iCs/>
                                  <w:color w:val="414141"/>
                                  <w:sz w:val="21"/>
                                  <w:szCs w:val="21"/>
                                  <w:lang w:eastAsia="en-AU"/>
                                </w:rPr>
                                <w:t>structural</w:t>
                              </w:r>
                              <w:r w:rsidRPr="00CD030A">
                                <w:rPr>
                                  <w:rFonts w:ascii="Arial" w:eastAsia="Times New Roman" w:hAnsi="Arial" w:cs="Arial"/>
                                  <w:color w:val="414141"/>
                                  <w:sz w:val="21"/>
                                  <w:szCs w:val="21"/>
                                  <w:lang w:eastAsia="en-AU"/>
                                </w:rPr>
                                <w:t> changes to the property. An example of structural change may include the following:</w:t>
                              </w:r>
                              <w:r w:rsidRPr="00CD030A">
                                <w:rPr>
                                  <w:rFonts w:ascii="Arial" w:eastAsia="Times New Roman" w:hAnsi="Arial" w:cs="Arial"/>
                                  <w:color w:val="414141"/>
                                  <w:sz w:val="21"/>
                                  <w:szCs w:val="21"/>
                                  <w:lang w:eastAsia="en-AU"/>
                                </w:rPr>
                                <w:br/>
                                <w:t> </w:t>
                              </w:r>
                            </w:p>
                            <w:p w:rsidR="00CD030A" w:rsidRPr="00CD030A" w:rsidRDefault="00CD030A" w:rsidP="00CD030A">
                              <w:pPr>
                                <w:numPr>
                                  <w:ilvl w:val="0"/>
                                  <w:numId w:val="1"/>
                                </w:numPr>
                                <w:spacing w:before="100" w:beforeAutospacing="1" w:after="100" w:afterAutospacing="1" w:line="315" w:lineRule="atLeast"/>
                                <w:rPr>
                                  <w:rFonts w:ascii="Arial" w:eastAsia="Times New Roman" w:hAnsi="Arial" w:cs="Arial"/>
                                  <w:color w:val="414141"/>
                                  <w:sz w:val="21"/>
                                  <w:szCs w:val="21"/>
                                  <w:lang w:eastAsia="en-AU"/>
                                </w:rPr>
                              </w:pPr>
                              <w:r w:rsidRPr="00CD030A">
                                <w:rPr>
                                  <w:rFonts w:ascii="Arial" w:eastAsia="Times New Roman" w:hAnsi="Arial" w:cs="Arial"/>
                                  <w:color w:val="414141"/>
                                  <w:sz w:val="21"/>
                                  <w:szCs w:val="21"/>
                                  <w:lang w:eastAsia="en-AU"/>
                                </w:rPr>
                                <w:t>knocking out a wall;</w:t>
                              </w:r>
                            </w:p>
                            <w:p w:rsidR="00CD030A" w:rsidRPr="00CD030A" w:rsidRDefault="00CD030A" w:rsidP="00CD030A">
                              <w:pPr>
                                <w:numPr>
                                  <w:ilvl w:val="0"/>
                                  <w:numId w:val="1"/>
                                </w:numPr>
                                <w:spacing w:before="100" w:beforeAutospacing="1" w:after="100" w:afterAutospacing="1" w:line="315" w:lineRule="atLeast"/>
                                <w:rPr>
                                  <w:rFonts w:ascii="Arial" w:eastAsia="Times New Roman" w:hAnsi="Arial" w:cs="Arial"/>
                                  <w:color w:val="414141"/>
                                  <w:sz w:val="21"/>
                                  <w:szCs w:val="21"/>
                                  <w:lang w:eastAsia="en-AU"/>
                                </w:rPr>
                              </w:pPr>
                              <w:r w:rsidRPr="00CD030A">
                                <w:rPr>
                                  <w:rFonts w:ascii="Arial" w:eastAsia="Times New Roman" w:hAnsi="Arial" w:cs="Arial"/>
                                  <w:color w:val="414141"/>
                                  <w:sz w:val="21"/>
                                  <w:szCs w:val="21"/>
                                  <w:lang w:eastAsia="en-AU"/>
                                </w:rPr>
                                <w:t>works affecting the appearance of a building;</w:t>
                              </w:r>
                            </w:p>
                            <w:p w:rsidR="00CD030A" w:rsidRPr="00CD030A" w:rsidRDefault="00CD030A" w:rsidP="00CD030A">
                              <w:pPr>
                                <w:numPr>
                                  <w:ilvl w:val="0"/>
                                  <w:numId w:val="1"/>
                                </w:numPr>
                                <w:spacing w:before="100" w:beforeAutospacing="1" w:after="100" w:afterAutospacing="1" w:line="315" w:lineRule="atLeast"/>
                                <w:rPr>
                                  <w:rFonts w:ascii="Arial" w:eastAsia="Times New Roman" w:hAnsi="Arial" w:cs="Arial"/>
                                  <w:color w:val="414141"/>
                                  <w:sz w:val="21"/>
                                  <w:szCs w:val="21"/>
                                  <w:lang w:eastAsia="en-AU"/>
                                </w:rPr>
                              </w:pPr>
                              <w:r w:rsidRPr="00CD030A">
                                <w:rPr>
                                  <w:rFonts w:ascii="Arial" w:eastAsia="Times New Roman" w:hAnsi="Arial" w:cs="Arial"/>
                                  <w:color w:val="414141"/>
                                  <w:sz w:val="21"/>
                                  <w:szCs w:val="21"/>
                                  <w:lang w:eastAsia="en-AU"/>
                                </w:rPr>
                                <w:t>works involving damaging/addition to common property; and</w:t>
                              </w:r>
                            </w:p>
                            <w:p w:rsidR="00CD030A" w:rsidRPr="00CD030A" w:rsidRDefault="00CD030A" w:rsidP="00CD030A">
                              <w:pPr>
                                <w:numPr>
                                  <w:ilvl w:val="0"/>
                                  <w:numId w:val="1"/>
                                </w:numPr>
                                <w:spacing w:before="100" w:beforeAutospacing="1" w:after="100" w:afterAutospacing="1" w:line="315" w:lineRule="atLeast"/>
                                <w:rPr>
                                  <w:rFonts w:ascii="Arial" w:eastAsia="Times New Roman" w:hAnsi="Arial" w:cs="Arial"/>
                                  <w:color w:val="414141"/>
                                  <w:sz w:val="21"/>
                                  <w:szCs w:val="21"/>
                                  <w:lang w:eastAsia="en-AU"/>
                                </w:rPr>
                              </w:pPr>
                              <w:r w:rsidRPr="00CD030A">
                                <w:rPr>
                                  <w:rFonts w:ascii="Arial" w:eastAsia="Times New Roman" w:hAnsi="Arial" w:cs="Arial"/>
                                  <w:color w:val="414141"/>
                                  <w:sz w:val="21"/>
                                  <w:szCs w:val="21"/>
                                  <w:lang w:eastAsia="en-AU"/>
                                </w:rPr>
                                <w:t>works effecting changes to floors, walls, ceilings, roofs, balconies, pipes or ducts.</w:t>
                              </w:r>
                            </w:p>
                            <w:p w:rsidR="00CD030A" w:rsidRPr="00CD030A" w:rsidRDefault="00CD030A" w:rsidP="00CD030A">
                              <w:pPr>
                                <w:spacing w:after="0" w:line="315" w:lineRule="atLeast"/>
                                <w:rPr>
                                  <w:rFonts w:ascii="Arial" w:eastAsia="Times New Roman" w:hAnsi="Arial" w:cs="Arial"/>
                                  <w:color w:val="414141"/>
                                  <w:sz w:val="21"/>
                                  <w:szCs w:val="21"/>
                                  <w:lang w:eastAsia="en-AU"/>
                                </w:rPr>
                              </w:pPr>
                              <w:r w:rsidRPr="00CD030A">
                                <w:rPr>
                                  <w:rFonts w:ascii="Arial" w:eastAsia="Times New Roman" w:hAnsi="Arial" w:cs="Arial"/>
                                  <w:color w:val="414141"/>
                                  <w:sz w:val="21"/>
                                  <w:szCs w:val="21"/>
                                  <w:lang w:eastAsia="en-AU"/>
                                </w:rPr>
                                <w:t> </w:t>
                              </w:r>
                              <w:r w:rsidRPr="00CD030A">
                                <w:rPr>
                                  <w:rFonts w:ascii="Arial" w:eastAsia="Times New Roman" w:hAnsi="Arial" w:cs="Arial"/>
                                  <w:color w:val="414141"/>
                                  <w:sz w:val="21"/>
                                  <w:szCs w:val="21"/>
                                  <w:lang w:eastAsia="en-AU"/>
                                </w:rPr>
                                <w:br/>
                                <w:t>Please ensure that you peruse the by-laws carefully as there may be a specified list of the works about which you are required to notify the Owners Corporation (which may/may not be a structural change).</w:t>
                              </w:r>
                              <w:r w:rsidRPr="00CD030A">
                                <w:rPr>
                                  <w:rFonts w:ascii="Arial" w:eastAsia="Times New Roman" w:hAnsi="Arial" w:cs="Arial"/>
                                  <w:color w:val="414141"/>
                                  <w:sz w:val="21"/>
                                  <w:szCs w:val="21"/>
                                  <w:lang w:eastAsia="en-AU"/>
                                </w:rPr>
                                <w:br/>
                                <w:t> </w:t>
                              </w:r>
                              <w:r w:rsidRPr="00CD030A">
                                <w:rPr>
                                  <w:rFonts w:ascii="Arial" w:eastAsia="Times New Roman" w:hAnsi="Arial" w:cs="Arial"/>
                                  <w:color w:val="414141"/>
                                  <w:sz w:val="21"/>
                                  <w:szCs w:val="21"/>
                                  <w:lang w:eastAsia="en-AU"/>
                                </w:rPr>
                                <w:br/>
                              </w:r>
                              <w:r w:rsidRPr="00CD030A">
                                <w:rPr>
                                  <w:rFonts w:ascii="Arial" w:eastAsia="Times New Roman" w:hAnsi="Arial" w:cs="Arial"/>
                                  <w:b/>
                                  <w:bCs/>
                                  <w:i/>
                                  <w:iCs/>
                                  <w:color w:val="414141"/>
                                  <w:sz w:val="21"/>
                                  <w:szCs w:val="21"/>
                                  <w:lang w:eastAsia="en-AU"/>
                                </w:rPr>
                                <w:t>Other important things to note: 1. Council</w:t>
                              </w:r>
                              <w:r w:rsidRPr="00CD030A">
                                <w:rPr>
                                  <w:rFonts w:ascii="Arial" w:eastAsia="Times New Roman" w:hAnsi="Arial" w:cs="Arial"/>
                                  <w:b/>
                                  <w:bCs/>
                                  <w:color w:val="414141"/>
                                  <w:sz w:val="21"/>
                                  <w:szCs w:val="21"/>
                                  <w:lang w:eastAsia="en-AU"/>
                                </w:rPr>
                                <w:t> </w:t>
                              </w:r>
                              <w:r w:rsidRPr="00CD030A">
                                <w:rPr>
                                  <w:rFonts w:ascii="Arial" w:eastAsia="Times New Roman" w:hAnsi="Arial" w:cs="Arial"/>
                                  <w:color w:val="414141"/>
                                  <w:sz w:val="21"/>
                                  <w:szCs w:val="21"/>
                                  <w:lang w:eastAsia="en-AU"/>
                                </w:rPr>
                                <w:br/>
                              </w:r>
                              <w:r w:rsidRPr="00CD030A">
                                <w:rPr>
                                  <w:rFonts w:ascii="Arial" w:eastAsia="Times New Roman" w:hAnsi="Arial" w:cs="Arial"/>
                                  <w:color w:val="414141"/>
                                  <w:sz w:val="21"/>
                                  <w:szCs w:val="21"/>
                                  <w:lang w:eastAsia="en-AU"/>
                                </w:rPr>
                                <w:br/>
                                <w:t>You may, or may not, require council’s approval for your renovation works depending on the nature of your renovation work. The NSW Planning &amp; Environment </w:t>
                              </w:r>
                              <w:hyperlink r:id="rId8" w:history="1">
                                <w:r w:rsidRPr="00CD030A">
                                  <w:rPr>
                                    <w:rFonts w:ascii="Arial" w:eastAsia="Times New Roman" w:hAnsi="Arial" w:cs="Arial"/>
                                    <w:color w:val="2A3994"/>
                                    <w:sz w:val="21"/>
                                    <w:szCs w:val="21"/>
                                    <w:u w:val="single"/>
                                    <w:lang w:eastAsia="en-AU"/>
                                  </w:rPr>
                                  <w:t>website</w:t>
                                </w:r>
                              </w:hyperlink>
                              <w:r w:rsidRPr="00CD030A">
                                <w:rPr>
                                  <w:rFonts w:ascii="Arial" w:eastAsia="Times New Roman" w:hAnsi="Arial" w:cs="Arial"/>
                                  <w:color w:val="414141"/>
                                  <w:sz w:val="21"/>
                                  <w:szCs w:val="21"/>
                                  <w:lang w:eastAsia="en-AU"/>
                                </w:rPr>
                                <w:t> states that minor building projects do not need an approval from the local council which are classified as an “exempt development”.</w:t>
                              </w:r>
                              <w:r w:rsidRPr="00CD030A">
                                <w:rPr>
                                  <w:rFonts w:ascii="Arial" w:eastAsia="Times New Roman" w:hAnsi="Arial" w:cs="Arial"/>
                                  <w:color w:val="414141"/>
                                  <w:sz w:val="21"/>
                                  <w:szCs w:val="21"/>
                                  <w:lang w:eastAsia="en-AU"/>
                                </w:rPr>
                                <w:br/>
                              </w:r>
                              <w:r w:rsidRPr="00CD030A">
                                <w:rPr>
                                  <w:rFonts w:ascii="Arial" w:eastAsia="Times New Roman" w:hAnsi="Arial" w:cs="Arial"/>
                                  <w:color w:val="414141"/>
                                  <w:sz w:val="21"/>
                                  <w:szCs w:val="21"/>
                                  <w:lang w:eastAsia="en-AU"/>
                                </w:rPr>
                                <w:lastRenderedPageBreak/>
                                <w:t>The NSW Planning &amp; Environment website provides examples of exempt development as: decks, garden sheds, or paintings.</w:t>
                              </w:r>
                              <w:r w:rsidRPr="00CD030A">
                                <w:rPr>
                                  <w:rFonts w:ascii="Arial" w:eastAsia="Times New Roman" w:hAnsi="Arial" w:cs="Arial"/>
                                  <w:color w:val="414141"/>
                                  <w:sz w:val="21"/>
                                  <w:szCs w:val="21"/>
                                  <w:lang w:eastAsia="en-AU"/>
                                </w:rPr>
                                <w:br/>
                                <w:t>Your purchase contract will contain a copy of a compulsory certificate called a Section 149 Planning Certificate which details out information about the zoning and applicable rules for development of your property.</w:t>
                              </w:r>
                              <w:r w:rsidRPr="00CD030A">
                                <w:rPr>
                                  <w:rFonts w:ascii="Arial" w:eastAsia="Times New Roman" w:hAnsi="Arial" w:cs="Arial"/>
                                  <w:color w:val="414141"/>
                                  <w:sz w:val="21"/>
                                  <w:szCs w:val="21"/>
                                  <w:lang w:eastAsia="en-AU"/>
                                </w:rPr>
                                <w:br/>
                                <w:t>It may be a prudent step for you to contact your local council’s planning department to discuss your proposals with them, even though, you may think that renovation works will</w:t>
                              </w:r>
                              <w:r w:rsidRPr="00CD030A">
                                <w:rPr>
                                  <w:rFonts w:ascii="Arial" w:eastAsia="Times New Roman" w:hAnsi="Arial" w:cs="Arial"/>
                                  <w:i/>
                                  <w:iCs/>
                                  <w:color w:val="414141"/>
                                  <w:sz w:val="21"/>
                                  <w:szCs w:val="21"/>
                                  <w:lang w:eastAsia="en-AU"/>
                                </w:rPr>
                                <w:t>not</w:t>
                              </w:r>
                              <w:r w:rsidRPr="00CD030A">
                                <w:rPr>
                                  <w:rFonts w:ascii="Arial" w:eastAsia="Times New Roman" w:hAnsi="Arial" w:cs="Arial"/>
                                  <w:color w:val="414141"/>
                                  <w:sz w:val="21"/>
                                  <w:szCs w:val="21"/>
                                  <w:lang w:eastAsia="en-AU"/>
                                </w:rPr>
                                <w:t> effect a structural change to the property and that formal council approval may not actually be required.</w:t>
                              </w:r>
                              <w:r w:rsidRPr="00CD030A">
                                <w:rPr>
                                  <w:rFonts w:ascii="Arial" w:eastAsia="Times New Roman" w:hAnsi="Arial" w:cs="Arial"/>
                                  <w:color w:val="414141"/>
                                  <w:sz w:val="21"/>
                                  <w:szCs w:val="21"/>
                                  <w:lang w:eastAsia="en-AU"/>
                                </w:rPr>
                                <w:br/>
                              </w:r>
                              <w:r w:rsidRPr="00CD030A">
                                <w:rPr>
                                  <w:rFonts w:ascii="Arial" w:eastAsia="Times New Roman" w:hAnsi="Arial" w:cs="Arial"/>
                                  <w:i/>
                                  <w:iCs/>
                                  <w:color w:val="414141"/>
                                  <w:sz w:val="21"/>
                                  <w:szCs w:val="21"/>
                                  <w:lang w:eastAsia="en-AU"/>
                                </w:rPr>
                                <w:t> </w:t>
                              </w:r>
                              <w:r w:rsidRPr="00CD030A">
                                <w:rPr>
                                  <w:rFonts w:ascii="Arial" w:eastAsia="Times New Roman" w:hAnsi="Arial" w:cs="Arial"/>
                                  <w:i/>
                                  <w:iCs/>
                                  <w:color w:val="414141"/>
                                  <w:sz w:val="21"/>
                                  <w:szCs w:val="21"/>
                                  <w:lang w:eastAsia="en-AU"/>
                                </w:rPr>
                                <w:br/>
                              </w:r>
                              <w:r w:rsidRPr="00CD030A">
                                <w:rPr>
                                  <w:rFonts w:ascii="Arial" w:eastAsia="Times New Roman" w:hAnsi="Arial" w:cs="Arial"/>
                                  <w:b/>
                                  <w:bCs/>
                                  <w:i/>
                                  <w:iCs/>
                                  <w:color w:val="414141"/>
                                  <w:sz w:val="21"/>
                                  <w:szCs w:val="21"/>
                                  <w:lang w:eastAsia="en-AU"/>
                                </w:rPr>
                                <w:t>Other important things to note: 2. Insurance </w:t>
                              </w:r>
                              <w:r w:rsidRPr="00CD030A">
                                <w:rPr>
                                  <w:rFonts w:ascii="Arial" w:eastAsia="Times New Roman" w:hAnsi="Arial" w:cs="Arial"/>
                                  <w:color w:val="414141"/>
                                  <w:sz w:val="21"/>
                                  <w:szCs w:val="21"/>
                                  <w:lang w:eastAsia="en-AU"/>
                                </w:rPr>
                                <w:br/>
                                <w:t> </w:t>
                              </w:r>
                              <w:r w:rsidRPr="00CD030A">
                                <w:rPr>
                                  <w:rFonts w:ascii="Arial" w:eastAsia="Times New Roman" w:hAnsi="Arial" w:cs="Arial"/>
                                  <w:color w:val="414141"/>
                                  <w:sz w:val="21"/>
                                  <w:szCs w:val="21"/>
                                  <w:lang w:eastAsia="en-AU"/>
                                </w:rPr>
                                <w:br/>
                                <w:t>If the total costs of your renovation works is over $20,000 and the renovation works were carried on or after 1 February 2012, your builder is required to provide an insurance under the Home Building Compensation Fund. If the total costs do not go over the threshold of $20,000, there is no legal requirement to obtain one.</w:t>
                              </w:r>
                              <w:r w:rsidRPr="00CD030A">
                                <w:rPr>
                                  <w:rFonts w:ascii="Arial" w:eastAsia="Times New Roman" w:hAnsi="Arial" w:cs="Arial"/>
                                  <w:color w:val="414141"/>
                                  <w:sz w:val="21"/>
                                  <w:szCs w:val="21"/>
                                  <w:lang w:eastAsia="en-AU"/>
                                </w:rPr>
                                <w:br/>
                                <w:t> </w:t>
                              </w:r>
                              <w:r w:rsidRPr="00CD030A">
                                <w:rPr>
                                  <w:rFonts w:ascii="Arial" w:eastAsia="Times New Roman" w:hAnsi="Arial" w:cs="Arial"/>
                                  <w:color w:val="414141"/>
                                  <w:sz w:val="21"/>
                                  <w:szCs w:val="21"/>
                                  <w:lang w:eastAsia="en-AU"/>
                                </w:rPr>
                                <w:br/>
                                <w:t>To further discuss legal aspects of renovation works to your property, please do not hesitate to contact our property lawyers at Clive Mills &amp; Associates, </w:t>
                              </w:r>
                              <w:r w:rsidRPr="00CD030A">
                                <w:rPr>
                                  <w:rFonts w:ascii="Arial" w:eastAsia="Times New Roman" w:hAnsi="Arial" w:cs="Arial"/>
                                  <w:i/>
                                  <w:iCs/>
                                  <w:color w:val="414141"/>
                                  <w:sz w:val="21"/>
                                  <w:szCs w:val="21"/>
                                  <w:lang w:eastAsia="en-AU"/>
                                </w:rPr>
                                <w:t>Minji Kim</w:t>
                              </w:r>
                              <w:r w:rsidRPr="00CD030A">
                                <w:rPr>
                                  <w:rFonts w:ascii="Arial" w:eastAsia="Times New Roman" w:hAnsi="Arial" w:cs="Arial"/>
                                  <w:color w:val="414141"/>
                                  <w:sz w:val="21"/>
                                  <w:szCs w:val="21"/>
                                  <w:lang w:eastAsia="en-AU"/>
                                </w:rPr>
                                <w:t> and </w:t>
                              </w:r>
                              <w:r w:rsidRPr="00CD030A">
                                <w:rPr>
                                  <w:rFonts w:ascii="Arial" w:eastAsia="Times New Roman" w:hAnsi="Arial" w:cs="Arial"/>
                                  <w:i/>
                                  <w:iCs/>
                                  <w:color w:val="414141"/>
                                  <w:sz w:val="21"/>
                                  <w:szCs w:val="21"/>
                                  <w:lang w:eastAsia="en-AU"/>
                                </w:rPr>
                                <w:t>Sally Kim</w:t>
                              </w:r>
                              <w:r w:rsidRPr="00CD030A">
                                <w:rPr>
                                  <w:rFonts w:ascii="Arial" w:eastAsia="Times New Roman" w:hAnsi="Arial" w:cs="Arial"/>
                                  <w:color w:val="414141"/>
                                  <w:sz w:val="21"/>
                                  <w:szCs w:val="21"/>
                                  <w:lang w:eastAsia="en-AU"/>
                                </w:rPr>
                                <w:t>.</w:t>
                              </w:r>
                              <w:r w:rsidRPr="00CD030A">
                                <w:rPr>
                                  <w:rFonts w:ascii="Arial" w:eastAsia="Times New Roman" w:hAnsi="Arial" w:cs="Arial"/>
                                  <w:color w:val="414141"/>
                                  <w:sz w:val="21"/>
                                  <w:szCs w:val="21"/>
                                  <w:lang w:eastAsia="en-AU"/>
                                </w:rPr>
                                <w:br/>
                                <w:t> </w:t>
                              </w:r>
                              <w:r w:rsidRPr="00CD030A">
                                <w:rPr>
                                  <w:rFonts w:ascii="Arial" w:eastAsia="Times New Roman" w:hAnsi="Arial" w:cs="Arial"/>
                                  <w:color w:val="414141"/>
                                  <w:sz w:val="21"/>
                                  <w:szCs w:val="21"/>
                                  <w:lang w:eastAsia="en-AU"/>
                                </w:rPr>
                                <w:br/>
                                <w:t>Minji Kim</w:t>
                              </w:r>
                            </w:p>
                          </w:tc>
                        </w:tr>
                      </w:tbl>
                      <w:p w:rsidR="00CD030A" w:rsidRPr="00CD030A" w:rsidRDefault="00CD030A" w:rsidP="00CD030A">
                        <w:pPr>
                          <w:spacing w:after="0" w:line="240" w:lineRule="auto"/>
                          <w:rPr>
                            <w:rFonts w:ascii="Times New Roman" w:eastAsia="Times New Roman" w:hAnsi="Times New Roman" w:cs="Times New Roman"/>
                            <w:sz w:val="24"/>
                            <w:szCs w:val="24"/>
                            <w:lang w:eastAsia="en-AU"/>
                          </w:rPr>
                        </w:pPr>
                      </w:p>
                    </w:tc>
                  </w:tr>
                  <w:tr w:rsidR="00CD030A" w:rsidRPr="00CD030A">
                    <w:tc>
                      <w:tcPr>
                        <w:tcW w:w="0" w:type="auto"/>
                        <w:hideMark/>
                      </w:tcPr>
                      <w:tbl>
                        <w:tblPr>
                          <w:tblW w:w="5000" w:type="pct"/>
                          <w:tblCellMar>
                            <w:top w:w="300" w:type="dxa"/>
                            <w:left w:w="300" w:type="dxa"/>
                            <w:bottom w:w="300" w:type="dxa"/>
                            <w:right w:w="300" w:type="dxa"/>
                          </w:tblCellMar>
                          <w:tblLook w:val="04A0" w:firstRow="1" w:lastRow="0" w:firstColumn="1" w:lastColumn="0" w:noHBand="0" w:noVBand="1"/>
                        </w:tblPr>
                        <w:tblGrid>
                          <w:gridCol w:w="9000"/>
                        </w:tblGrid>
                        <w:tr w:rsidR="00CD030A" w:rsidRPr="00CD030A">
                          <w:tc>
                            <w:tcPr>
                              <w:tcW w:w="0" w:type="auto"/>
                              <w:hideMark/>
                            </w:tcPr>
                            <w:p w:rsidR="00CD030A" w:rsidRPr="00CD030A" w:rsidRDefault="00CD030A" w:rsidP="00CD030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w:drawing>
                                  <wp:inline distT="0" distB="0" distL="0" distR="0">
                                    <wp:extent cx="5334000" cy="3552825"/>
                                    <wp:effectExtent l="0" t="0" r="0" b="9525"/>
                                    <wp:docPr id="1" name="Picture 1" descr="https://gallery.mailchimp.com/d7ac35d590989fce96f6014e9/images/bee66036-13ba-4457-b6c5-a01c75ba25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d7ac35d590989fce96f6014e9/images/bee66036-13ba-4457-b6c5-a01c75ba25c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3552825"/>
                                            </a:xfrm>
                                            <a:prstGeom prst="rect">
                                              <a:avLst/>
                                            </a:prstGeom>
                                            <a:noFill/>
                                            <a:ln>
                                              <a:noFill/>
                                            </a:ln>
                                          </pic:spPr>
                                        </pic:pic>
                                      </a:graphicData>
                                    </a:graphic>
                                  </wp:inline>
                                </w:drawing>
                              </w:r>
                            </w:p>
                            <w:p w:rsidR="00CD030A" w:rsidRPr="00CD030A" w:rsidRDefault="00CD030A" w:rsidP="00CD030A">
                              <w:pPr>
                                <w:spacing w:after="150" w:line="330" w:lineRule="atLeast"/>
                                <w:outlineLvl w:val="3"/>
                                <w:rPr>
                                  <w:rFonts w:ascii="Arial" w:eastAsia="Times New Roman" w:hAnsi="Arial" w:cs="Arial"/>
                                  <w:color w:val="000000"/>
                                  <w:sz w:val="33"/>
                                  <w:szCs w:val="33"/>
                                  <w:lang w:eastAsia="en-AU"/>
                                </w:rPr>
                              </w:pPr>
                              <w:r w:rsidRPr="00CD030A">
                                <w:rPr>
                                  <w:rFonts w:ascii="Arial" w:eastAsia="Times New Roman" w:hAnsi="Arial" w:cs="Arial"/>
                                  <w:i/>
                                  <w:iCs/>
                                  <w:color w:val="000000"/>
                                  <w:sz w:val="33"/>
                                  <w:szCs w:val="33"/>
                                  <w:lang w:eastAsia="en-AU"/>
                                </w:rPr>
                                <w:lastRenderedPageBreak/>
                                <w:t>"Codicils: A Good Idea or an Anachronism?"</w:t>
                              </w:r>
                              <w:r w:rsidRPr="00CD030A">
                                <w:rPr>
                                  <w:rFonts w:ascii="Arial" w:eastAsia="Times New Roman" w:hAnsi="Arial" w:cs="Arial"/>
                                  <w:color w:val="000000"/>
                                  <w:sz w:val="33"/>
                                  <w:szCs w:val="33"/>
                                  <w:lang w:eastAsia="en-AU"/>
                                </w:rPr>
                                <w:br/>
                              </w:r>
                              <w:r w:rsidRPr="00CD030A">
                                <w:rPr>
                                  <w:rFonts w:ascii="Arial" w:eastAsia="Times New Roman" w:hAnsi="Arial" w:cs="Arial"/>
                                  <w:color w:val="414141"/>
                                  <w:sz w:val="21"/>
                                  <w:szCs w:val="21"/>
                                  <w:lang w:eastAsia="en-AU"/>
                                </w:rPr>
                                <w:t> </w:t>
                              </w:r>
                            </w:p>
                            <w:p w:rsidR="00CD030A" w:rsidRPr="00CD030A" w:rsidRDefault="00CD030A" w:rsidP="00CD030A">
                              <w:pPr>
                                <w:spacing w:after="0" w:line="315" w:lineRule="atLeast"/>
                                <w:rPr>
                                  <w:rFonts w:ascii="Arial" w:eastAsia="Times New Roman" w:hAnsi="Arial" w:cs="Arial"/>
                                  <w:color w:val="414141"/>
                                  <w:sz w:val="21"/>
                                  <w:szCs w:val="21"/>
                                  <w:lang w:eastAsia="en-AU"/>
                                </w:rPr>
                              </w:pPr>
                              <w:r w:rsidRPr="00CD030A">
                                <w:rPr>
                                  <w:rFonts w:ascii="Arial" w:eastAsia="Times New Roman" w:hAnsi="Arial" w:cs="Arial"/>
                                  <w:color w:val="414141"/>
                                  <w:sz w:val="21"/>
                                  <w:szCs w:val="21"/>
                                  <w:lang w:eastAsia="en-AU"/>
                                </w:rPr>
                                <w:t>Circumstances may change as you progress through life, sometimes drastically, and you may need to make adjustments to your estate planning accordingly.</w:t>
                              </w:r>
                              <w:r w:rsidRPr="00CD030A">
                                <w:rPr>
                                  <w:rFonts w:ascii="Arial" w:eastAsia="Times New Roman" w:hAnsi="Arial" w:cs="Arial"/>
                                  <w:color w:val="414141"/>
                                  <w:sz w:val="21"/>
                                  <w:szCs w:val="21"/>
                                  <w:lang w:eastAsia="en-AU"/>
                                </w:rPr>
                                <w:br/>
                                <w:t> </w:t>
                              </w:r>
                              <w:r w:rsidRPr="00CD030A">
                                <w:rPr>
                                  <w:rFonts w:ascii="Arial" w:eastAsia="Times New Roman" w:hAnsi="Arial" w:cs="Arial"/>
                                  <w:color w:val="414141"/>
                                  <w:sz w:val="21"/>
                                  <w:szCs w:val="21"/>
                                  <w:lang w:eastAsia="en-AU"/>
                                </w:rPr>
                                <w:br/>
                                <w:t>Many people will want to “</w:t>
                              </w:r>
                              <w:r w:rsidRPr="00CD030A">
                                <w:rPr>
                                  <w:rFonts w:ascii="Arial" w:eastAsia="Times New Roman" w:hAnsi="Arial" w:cs="Arial"/>
                                  <w:i/>
                                  <w:iCs/>
                                  <w:color w:val="414141"/>
                                  <w:sz w:val="21"/>
                                  <w:szCs w:val="21"/>
                                  <w:lang w:eastAsia="en-AU"/>
                                </w:rPr>
                                <w:t>just</w:t>
                              </w:r>
                              <w:r w:rsidRPr="00CD030A">
                                <w:rPr>
                                  <w:rFonts w:ascii="Arial" w:eastAsia="Times New Roman" w:hAnsi="Arial" w:cs="Arial"/>
                                  <w:color w:val="414141"/>
                                  <w:sz w:val="21"/>
                                  <w:szCs w:val="21"/>
                                  <w:lang w:eastAsia="en-AU"/>
                                </w:rPr>
                                <w:t> </w:t>
                              </w:r>
                              <w:r w:rsidRPr="00CD030A">
                                <w:rPr>
                                  <w:rFonts w:ascii="Arial" w:eastAsia="Times New Roman" w:hAnsi="Arial" w:cs="Arial"/>
                                  <w:i/>
                                  <w:iCs/>
                                  <w:color w:val="414141"/>
                                  <w:sz w:val="21"/>
                                  <w:szCs w:val="21"/>
                                  <w:lang w:eastAsia="en-AU"/>
                                </w:rPr>
                                <w:t>make a slight change</w:t>
                              </w:r>
                              <w:r w:rsidRPr="00CD030A">
                                <w:rPr>
                                  <w:rFonts w:ascii="Arial" w:eastAsia="Times New Roman" w:hAnsi="Arial" w:cs="Arial"/>
                                  <w:color w:val="414141"/>
                                  <w:sz w:val="21"/>
                                  <w:szCs w:val="21"/>
                                  <w:lang w:eastAsia="en-AU"/>
                                </w:rPr>
                                <w:t>” to their Will as their circumstances change, rather than prepare an entirely new Will. But how does this work, and what are the risks attached?</w:t>
                              </w:r>
                              <w:r w:rsidRPr="00CD030A">
                                <w:rPr>
                                  <w:rFonts w:ascii="Arial" w:eastAsia="Times New Roman" w:hAnsi="Arial" w:cs="Arial"/>
                                  <w:color w:val="414141"/>
                                  <w:sz w:val="21"/>
                                  <w:szCs w:val="21"/>
                                  <w:lang w:eastAsia="en-AU"/>
                                </w:rPr>
                                <w:br/>
                                <w:t> </w:t>
                              </w:r>
                              <w:r w:rsidRPr="00CD030A">
                                <w:rPr>
                                  <w:rFonts w:ascii="Arial" w:eastAsia="Times New Roman" w:hAnsi="Arial" w:cs="Arial"/>
                                  <w:color w:val="414141"/>
                                  <w:sz w:val="21"/>
                                  <w:szCs w:val="21"/>
                                  <w:lang w:eastAsia="en-AU"/>
                                </w:rPr>
                                <w:br/>
                                <w:t>Is a codicil a good idea?</w:t>
                              </w:r>
                              <w:r w:rsidRPr="00CD030A">
                                <w:rPr>
                                  <w:rFonts w:ascii="Arial" w:eastAsia="Times New Roman" w:hAnsi="Arial" w:cs="Arial"/>
                                  <w:color w:val="414141"/>
                                  <w:sz w:val="21"/>
                                  <w:szCs w:val="21"/>
                                  <w:lang w:eastAsia="en-AU"/>
                                </w:rPr>
                                <w:br/>
                              </w:r>
                              <w:r w:rsidRPr="00CD030A">
                                <w:rPr>
                                  <w:rFonts w:ascii="Arial" w:eastAsia="Times New Roman" w:hAnsi="Arial" w:cs="Arial"/>
                                  <w:color w:val="414141"/>
                                  <w:sz w:val="21"/>
                                  <w:szCs w:val="21"/>
                                  <w:lang w:eastAsia="en-AU"/>
                                </w:rPr>
                                <w:br/>
                              </w:r>
                              <w:r w:rsidRPr="00CD030A">
                                <w:rPr>
                                  <w:rFonts w:ascii="Arial" w:eastAsia="Times New Roman" w:hAnsi="Arial" w:cs="Arial"/>
                                  <w:b/>
                                  <w:bCs/>
                                  <w:i/>
                                  <w:iCs/>
                                  <w:color w:val="414141"/>
                                  <w:sz w:val="21"/>
                                  <w:szCs w:val="21"/>
                                  <w:lang w:eastAsia="en-AU"/>
                                </w:rPr>
                                <w:t>Codicils</w:t>
                              </w:r>
                              <w:r w:rsidRPr="00CD030A">
                                <w:rPr>
                                  <w:rFonts w:ascii="Arial" w:eastAsia="Times New Roman" w:hAnsi="Arial" w:cs="Arial"/>
                                  <w:color w:val="414141"/>
                                  <w:sz w:val="21"/>
                                  <w:szCs w:val="21"/>
                                  <w:lang w:eastAsia="en-AU"/>
                                </w:rPr>
                                <w:br/>
                                <w:t> </w:t>
                              </w:r>
                              <w:r w:rsidRPr="00CD030A">
                                <w:rPr>
                                  <w:rFonts w:ascii="Arial" w:eastAsia="Times New Roman" w:hAnsi="Arial" w:cs="Arial"/>
                                  <w:color w:val="414141"/>
                                  <w:sz w:val="21"/>
                                  <w:szCs w:val="21"/>
                                  <w:lang w:eastAsia="en-AU"/>
                                </w:rPr>
                                <w:br/>
                                <w:t>A codicil is a separate document to a person’s original Will, which amends one or more of the terms of the original Will.</w:t>
                              </w:r>
                              <w:r w:rsidRPr="00CD030A">
                                <w:rPr>
                                  <w:rFonts w:ascii="Arial" w:eastAsia="Times New Roman" w:hAnsi="Arial" w:cs="Arial"/>
                                  <w:color w:val="414141"/>
                                  <w:sz w:val="21"/>
                                  <w:szCs w:val="21"/>
                                  <w:lang w:eastAsia="en-AU"/>
                                </w:rPr>
                                <w:br/>
                                <w:t> </w:t>
                              </w:r>
                              <w:r w:rsidRPr="00CD030A">
                                <w:rPr>
                                  <w:rFonts w:ascii="Arial" w:eastAsia="Times New Roman" w:hAnsi="Arial" w:cs="Arial"/>
                                  <w:color w:val="414141"/>
                                  <w:sz w:val="21"/>
                                  <w:szCs w:val="21"/>
                                  <w:lang w:eastAsia="en-AU"/>
                                </w:rPr>
                                <w:br/>
                                <w:t>A codicil must refer specifically to the Will which it amends, and will need to be very carefully worded in order to be effective. A codicil may be ineffective if it does not refer correctly to a person’s most recent, unrevoked Will.</w:t>
                              </w:r>
                              <w:r w:rsidRPr="00CD030A">
                                <w:rPr>
                                  <w:rFonts w:ascii="Arial" w:eastAsia="Times New Roman" w:hAnsi="Arial" w:cs="Arial"/>
                                  <w:color w:val="414141"/>
                                  <w:sz w:val="21"/>
                                  <w:szCs w:val="21"/>
                                  <w:lang w:eastAsia="en-AU"/>
                                </w:rPr>
                                <w:br/>
                                <w:t> </w:t>
                              </w:r>
                              <w:r w:rsidRPr="00CD030A">
                                <w:rPr>
                                  <w:rFonts w:ascii="Arial" w:eastAsia="Times New Roman" w:hAnsi="Arial" w:cs="Arial"/>
                                  <w:color w:val="414141"/>
                                  <w:sz w:val="21"/>
                                  <w:szCs w:val="21"/>
                                  <w:lang w:eastAsia="en-AU"/>
                                </w:rPr>
                                <w:br/>
                                <w:t>There are a number of other risks attached to preparing a codicil instead of a new Will, and some of these are detailed below:</w:t>
                              </w:r>
                              <w:r w:rsidRPr="00CD030A">
                                <w:rPr>
                                  <w:rFonts w:ascii="Arial" w:eastAsia="Times New Roman" w:hAnsi="Arial" w:cs="Arial"/>
                                  <w:color w:val="414141"/>
                                  <w:sz w:val="21"/>
                                  <w:szCs w:val="21"/>
                                  <w:lang w:eastAsia="en-AU"/>
                                </w:rPr>
                                <w:br/>
                                <w:t> </w:t>
                              </w:r>
                              <w:r w:rsidRPr="00CD030A">
                                <w:rPr>
                                  <w:rFonts w:ascii="Arial" w:eastAsia="Times New Roman" w:hAnsi="Arial" w:cs="Arial"/>
                                  <w:color w:val="414141"/>
                                  <w:sz w:val="21"/>
                                  <w:szCs w:val="21"/>
                                  <w:lang w:eastAsia="en-AU"/>
                                </w:rPr>
                                <w:br/>
                              </w:r>
                              <w:r w:rsidRPr="00CD030A">
                                <w:rPr>
                                  <w:rFonts w:ascii="Arial" w:eastAsia="Times New Roman" w:hAnsi="Arial" w:cs="Arial"/>
                                  <w:b/>
                                  <w:bCs/>
                                  <w:i/>
                                  <w:iCs/>
                                  <w:color w:val="414141"/>
                                  <w:sz w:val="21"/>
                                  <w:szCs w:val="21"/>
                                  <w:lang w:eastAsia="en-AU"/>
                                </w:rPr>
                                <w:t>The Risks</w:t>
                              </w:r>
                              <w:r w:rsidRPr="00CD030A">
                                <w:rPr>
                                  <w:rFonts w:ascii="Arial" w:eastAsia="Times New Roman" w:hAnsi="Arial" w:cs="Arial"/>
                                  <w:color w:val="414141"/>
                                  <w:sz w:val="21"/>
                                  <w:szCs w:val="21"/>
                                  <w:lang w:eastAsia="en-AU"/>
                                </w:rPr>
                                <w:br/>
                                <w:t> </w:t>
                              </w:r>
                              <w:r w:rsidRPr="00CD030A">
                                <w:rPr>
                                  <w:rFonts w:ascii="Arial" w:eastAsia="Times New Roman" w:hAnsi="Arial" w:cs="Arial"/>
                                  <w:color w:val="414141"/>
                                  <w:sz w:val="21"/>
                                  <w:szCs w:val="21"/>
                                  <w:lang w:eastAsia="en-AU"/>
                                </w:rPr>
                                <w:br/>
                                <w:t>1) the codicil, if stored separately from the original Will, is lost. In these circumstances, there may be no way to determine that a codicil was prepared, so the original Will may be applied as if the codicil did not exist;</w:t>
                              </w:r>
                              <w:r w:rsidRPr="00CD030A">
                                <w:rPr>
                                  <w:rFonts w:ascii="Arial" w:eastAsia="Times New Roman" w:hAnsi="Arial" w:cs="Arial"/>
                                  <w:color w:val="414141"/>
                                  <w:sz w:val="21"/>
                                  <w:szCs w:val="21"/>
                                  <w:lang w:eastAsia="en-AU"/>
                                </w:rPr>
                                <w:br/>
                                <w:t> </w:t>
                              </w:r>
                              <w:r w:rsidRPr="00CD030A">
                                <w:rPr>
                                  <w:rFonts w:ascii="Arial" w:eastAsia="Times New Roman" w:hAnsi="Arial" w:cs="Arial"/>
                                  <w:color w:val="414141"/>
                                  <w:sz w:val="21"/>
                                  <w:szCs w:val="21"/>
                                  <w:lang w:eastAsia="en-AU"/>
                                </w:rPr>
                                <w:br/>
                                <w:t>2) because there is more than one document for the Court to consider, it may be more difficult for your executor to obtain </w:t>
                              </w:r>
                              <w:r w:rsidRPr="00CD030A">
                                <w:rPr>
                                  <w:rFonts w:ascii="Arial" w:eastAsia="Times New Roman" w:hAnsi="Arial" w:cs="Arial"/>
                                  <w:i/>
                                  <w:iCs/>
                                  <w:color w:val="414141"/>
                                  <w:sz w:val="21"/>
                                  <w:szCs w:val="21"/>
                                  <w:lang w:eastAsia="en-AU"/>
                                </w:rPr>
                                <w:t>probate</w:t>
                              </w:r>
                              <w:r w:rsidRPr="00CD030A">
                                <w:rPr>
                                  <w:rFonts w:ascii="Arial" w:eastAsia="Times New Roman" w:hAnsi="Arial" w:cs="Arial"/>
                                  <w:color w:val="414141"/>
                                  <w:sz w:val="21"/>
                                  <w:szCs w:val="21"/>
                                  <w:lang w:eastAsia="en-AU"/>
                                </w:rPr>
                                <w:t> of your Will where there is a codicil;</w:t>
                              </w:r>
                              <w:r w:rsidRPr="00CD030A">
                                <w:rPr>
                                  <w:rFonts w:ascii="Arial" w:eastAsia="Times New Roman" w:hAnsi="Arial" w:cs="Arial"/>
                                  <w:color w:val="414141"/>
                                  <w:sz w:val="21"/>
                                  <w:szCs w:val="21"/>
                                  <w:lang w:eastAsia="en-AU"/>
                                </w:rPr>
                                <w:br/>
                                <w:t> </w:t>
                              </w:r>
                              <w:r w:rsidRPr="00CD030A">
                                <w:rPr>
                                  <w:rFonts w:ascii="Arial" w:eastAsia="Times New Roman" w:hAnsi="Arial" w:cs="Arial"/>
                                  <w:color w:val="414141"/>
                                  <w:sz w:val="21"/>
                                  <w:szCs w:val="21"/>
                                  <w:lang w:eastAsia="en-AU"/>
                                </w:rPr>
                                <w:br/>
                                <w:t>3) the presence of multiple documents may make it harder for your executor to determine exactly how you wanted your estate to be administered; and</w:t>
                              </w:r>
                              <w:r w:rsidRPr="00CD030A">
                                <w:rPr>
                                  <w:rFonts w:ascii="Arial" w:eastAsia="Times New Roman" w:hAnsi="Arial" w:cs="Arial"/>
                                  <w:color w:val="414141"/>
                                  <w:sz w:val="21"/>
                                  <w:szCs w:val="21"/>
                                  <w:lang w:eastAsia="en-AU"/>
                                </w:rPr>
                                <w:br/>
                                <w:t> </w:t>
                              </w:r>
                              <w:r w:rsidRPr="00CD030A">
                                <w:rPr>
                                  <w:rFonts w:ascii="Arial" w:eastAsia="Times New Roman" w:hAnsi="Arial" w:cs="Arial"/>
                                  <w:color w:val="414141"/>
                                  <w:sz w:val="21"/>
                                  <w:szCs w:val="21"/>
                                  <w:lang w:eastAsia="en-AU"/>
                                </w:rPr>
                                <w:br/>
                                <w:t>4) there is a significant likelihood of uncertainty or errors arising in the codicil where the original Will and the codicil are drafted by different solicitors.</w:t>
                              </w:r>
                              <w:r w:rsidRPr="00CD030A">
                                <w:rPr>
                                  <w:rFonts w:ascii="Arial" w:eastAsia="Times New Roman" w:hAnsi="Arial" w:cs="Arial"/>
                                  <w:color w:val="414141"/>
                                  <w:sz w:val="21"/>
                                  <w:szCs w:val="21"/>
                                  <w:lang w:eastAsia="en-AU"/>
                                </w:rPr>
                                <w:br/>
                                <w:t> </w:t>
                              </w:r>
                              <w:r w:rsidRPr="00CD030A">
                                <w:rPr>
                                  <w:rFonts w:ascii="Arial" w:eastAsia="Times New Roman" w:hAnsi="Arial" w:cs="Arial"/>
                                  <w:color w:val="414141"/>
                                  <w:sz w:val="21"/>
                                  <w:szCs w:val="21"/>
                                  <w:lang w:eastAsia="en-AU"/>
                                </w:rPr>
                                <w:br/>
                              </w:r>
                              <w:r w:rsidRPr="00CD030A">
                                <w:rPr>
                                  <w:rFonts w:ascii="Arial" w:eastAsia="Times New Roman" w:hAnsi="Arial" w:cs="Arial"/>
                                  <w:b/>
                                  <w:bCs/>
                                  <w:i/>
                                  <w:iCs/>
                                  <w:color w:val="414141"/>
                                  <w:sz w:val="21"/>
                                  <w:szCs w:val="21"/>
                                  <w:lang w:eastAsia="en-AU"/>
                                </w:rPr>
                                <w:t>The Demise of the Codicil? The Advent of Word Processors</w:t>
                              </w:r>
                              <w:r w:rsidRPr="00CD030A">
                                <w:rPr>
                                  <w:rFonts w:ascii="Arial" w:eastAsia="Times New Roman" w:hAnsi="Arial" w:cs="Arial"/>
                                  <w:color w:val="414141"/>
                                  <w:sz w:val="21"/>
                                  <w:szCs w:val="21"/>
                                  <w:lang w:eastAsia="en-AU"/>
                                </w:rPr>
                                <w:br/>
                                <w:t> </w:t>
                              </w:r>
                              <w:r w:rsidRPr="00CD030A">
                                <w:rPr>
                                  <w:rFonts w:ascii="Arial" w:eastAsia="Times New Roman" w:hAnsi="Arial" w:cs="Arial"/>
                                  <w:color w:val="414141"/>
                                  <w:sz w:val="21"/>
                                  <w:szCs w:val="21"/>
                                  <w:lang w:eastAsia="en-AU"/>
                                </w:rPr>
                                <w:br/>
                                <w:t xml:space="preserve">From the early 1980s, the development of computer technology and word processing </w:t>
                              </w:r>
                              <w:r w:rsidRPr="00CD030A">
                                <w:rPr>
                                  <w:rFonts w:ascii="Arial" w:eastAsia="Times New Roman" w:hAnsi="Arial" w:cs="Arial"/>
                                  <w:color w:val="414141"/>
                                  <w:sz w:val="21"/>
                                  <w:szCs w:val="21"/>
                                  <w:lang w:eastAsia="en-AU"/>
                                </w:rPr>
                                <w:lastRenderedPageBreak/>
                                <w:t>systems has made the drawing up of a new Will an easier exercise.</w:t>
                              </w:r>
                              <w:r w:rsidRPr="00CD030A">
                                <w:rPr>
                                  <w:rFonts w:ascii="Arial" w:eastAsia="Times New Roman" w:hAnsi="Arial" w:cs="Arial"/>
                                  <w:color w:val="414141"/>
                                  <w:sz w:val="21"/>
                                  <w:szCs w:val="21"/>
                                  <w:lang w:eastAsia="en-AU"/>
                                </w:rPr>
                                <w:br/>
                                <w:t> </w:t>
                              </w:r>
                              <w:r w:rsidRPr="00CD030A">
                                <w:rPr>
                                  <w:rFonts w:ascii="Arial" w:eastAsia="Times New Roman" w:hAnsi="Arial" w:cs="Arial"/>
                                  <w:color w:val="414141"/>
                                  <w:sz w:val="21"/>
                                  <w:szCs w:val="21"/>
                                  <w:lang w:eastAsia="en-AU"/>
                                </w:rPr>
                                <w:br/>
                                <w:t>In times gone by, reliance on manual typewriters meant that, in practical terms, it was much faster and easier to prepare a short codicil, rather than writing a new Will from scratch.</w:t>
                              </w:r>
                              <w:r w:rsidRPr="00CD030A">
                                <w:rPr>
                                  <w:rFonts w:ascii="Arial" w:eastAsia="Times New Roman" w:hAnsi="Arial" w:cs="Arial"/>
                                  <w:color w:val="414141"/>
                                  <w:sz w:val="21"/>
                                  <w:szCs w:val="21"/>
                                  <w:lang w:eastAsia="en-AU"/>
                                </w:rPr>
                                <w:br/>
                                <w:t> </w:t>
                              </w:r>
                              <w:r w:rsidRPr="00CD030A">
                                <w:rPr>
                                  <w:rFonts w:ascii="Arial" w:eastAsia="Times New Roman" w:hAnsi="Arial" w:cs="Arial"/>
                                  <w:color w:val="414141"/>
                                  <w:sz w:val="21"/>
                                  <w:szCs w:val="21"/>
                                  <w:lang w:eastAsia="en-AU"/>
                                </w:rPr>
                                <w:br/>
                                <w:t>Now that Will precedents and draft Wills can be stored electronically, and contemporary word processors and printers have improved the speed and precision with which a new Will can be prepared, codicils, in addition to the numerous risks which they present, are becoming increasingly redundant.</w:t>
                              </w:r>
                              <w:r w:rsidRPr="00CD030A">
                                <w:rPr>
                                  <w:rFonts w:ascii="Arial" w:eastAsia="Times New Roman" w:hAnsi="Arial" w:cs="Arial"/>
                                  <w:color w:val="414141"/>
                                  <w:sz w:val="21"/>
                                  <w:szCs w:val="21"/>
                                  <w:lang w:eastAsia="en-AU"/>
                                </w:rPr>
                                <w:br/>
                                <w:t> </w:t>
                              </w:r>
                              <w:r w:rsidRPr="00CD030A">
                                <w:rPr>
                                  <w:rFonts w:ascii="Arial" w:eastAsia="Times New Roman" w:hAnsi="Arial" w:cs="Arial"/>
                                  <w:color w:val="414141"/>
                                  <w:sz w:val="21"/>
                                  <w:szCs w:val="21"/>
                                  <w:lang w:eastAsia="en-AU"/>
                                </w:rPr>
                                <w:br/>
                                <w:t>As globalisation has led to the disappearance of flora and fauna, it seems that, similarly, it has also given rise to the demise and near extinction of both the manual typewriter and the codicil.</w:t>
                              </w:r>
                              <w:r w:rsidRPr="00CD030A">
                                <w:rPr>
                                  <w:rFonts w:ascii="Arial" w:eastAsia="Times New Roman" w:hAnsi="Arial" w:cs="Arial"/>
                                  <w:color w:val="414141"/>
                                  <w:sz w:val="21"/>
                                  <w:szCs w:val="21"/>
                                  <w:lang w:eastAsia="en-AU"/>
                                </w:rPr>
                                <w:br/>
                                <w:t> </w:t>
                              </w:r>
                              <w:r w:rsidRPr="00CD030A">
                                <w:rPr>
                                  <w:rFonts w:ascii="Arial" w:eastAsia="Times New Roman" w:hAnsi="Arial" w:cs="Arial"/>
                                  <w:color w:val="414141"/>
                                  <w:sz w:val="21"/>
                                  <w:szCs w:val="21"/>
                                  <w:lang w:eastAsia="en-AU"/>
                                </w:rPr>
                                <w:br/>
                              </w:r>
                              <w:r w:rsidRPr="00CD030A">
                                <w:rPr>
                                  <w:rFonts w:ascii="Arial" w:eastAsia="Times New Roman" w:hAnsi="Arial" w:cs="Arial"/>
                                  <w:b/>
                                  <w:bCs/>
                                  <w:i/>
                                  <w:iCs/>
                                  <w:color w:val="414141"/>
                                  <w:sz w:val="21"/>
                                  <w:szCs w:val="21"/>
                                  <w:lang w:eastAsia="en-AU"/>
                                </w:rPr>
                                <w:t>Conclusion</w:t>
                              </w:r>
                              <w:r w:rsidRPr="00CD030A">
                                <w:rPr>
                                  <w:rFonts w:ascii="Arial" w:eastAsia="Times New Roman" w:hAnsi="Arial" w:cs="Arial"/>
                                  <w:color w:val="414141"/>
                                  <w:sz w:val="21"/>
                                  <w:szCs w:val="21"/>
                                  <w:lang w:eastAsia="en-AU"/>
                                </w:rPr>
                                <w:br/>
                                <w:t> </w:t>
                              </w:r>
                              <w:r w:rsidRPr="00CD030A">
                                <w:rPr>
                                  <w:rFonts w:ascii="Arial" w:eastAsia="Times New Roman" w:hAnsi="Arial" w:cs="Arial"/>
                                  <w:color w:val="414141"/>
                                  <w:sz w:val="21"/>
                                  <w:szCs w:val="21"/>
                                  <w:lang w:eastAsia="en-AU"/>
                                </w:rPr>
                                <w:br/>
                                <w:t>Any of the risk factors identified above in relation to codicils could, potentially, lead to litigation and delays in your estate being administered, which may deplete your estate and cause significant delays and difficulties for your executors.</w:t>
                              </w:r>
                              <w:r w:rsidRPr="00CD030A">
                                <w:rPr>
                                  <w:rFonts w:ascii="Arial" w:eastAsia="Times New Roman" w:hAnsi="Arial" w:cs="Arial"/>
                                  <w:color w:val="414141"/>
                                  <w:sz w:val="21"/>
                                  <w:szCs w:val="21"/>
                                  <w:lang w:eastAsia="en-AU"/>
                                </w:rPr>
                                <w:br/>
                                <w:t> </w:t>
                              </w:r>
                              <w:r w:rsidRPr="00CD030A">
                                <w:rPr>
                                  <w:rFonts w:ascii="Arial" w:eastAsia="Times New Roman" w:hAnsi="Arial" w:cs="Arial"/>
                                  <w:color w:val="414141"/>
                                  <w:sz w:val="21"/>
                                  <w:szCs w:val="21"/>
                                  <w:lang w:eastAsia="en-AU"/>
                                </w:rPr>
                                <w:br/>
                                <w:t>Further, factors which historically made codicils a desirable option, such as the comparative ease with which they could be prepared, are becoming increasingly less relevant with the advance of word processing technology.</w:t>
                              </w:r>
                              <w:r w:rsidRPr="00CD030A">
                                <w:rPr>
                                  <w:rFonts w:ascii="Arial" w:eastAsia="Times New Roman" w:hAnsi="Arial" w:cs="Arial"/>
                                  <w:color w:val="414141"/>
                                  <w:sz w:val="21"/>
                                  <w:szCs w:val="21"/>
                                  <w:lang w:eastAsia="en-AU"/>
                                </w:rPr>
                                <w:br/>
                                <w:t> </w:t>
                              </w:r>
                              <w:r w:rsidRPr="00CD030A">
                                <w:rPr>
                                  <w:rFonts w:ascii="Arial" w:eastAsia="Times New Roman" w:hAnsi="Arial" w:cs="Arial"/>
                                  <w:color w:val="414141"/>
                                  <w:sz w:val="21"/>
                                  <w:szCs w:val="21"/>
                                  <w:lang w:eastAsia="en-AU"/>
                                </w:rPr>
                                <w:br/>
                                <w:t>Accordingly, in many circumstances it may be more prudent to prepare a new Will, in order to protect your estate from the risks outlined above after you pass away.</w:t>
                              </w:r>
                              <w:r w:rsidRPr="00CD030A">
                                <w:rPr>
                                  <w:rFonts w:ascii="Arial" w:eastAsia="Times New Roman" w:hAnsi="Arial" w:cs="Arial"/>
                                  <w:color w:val="414141"/>
                                  <w:sz w:val="21"/>
                                  <w:szCs w:val="21"/>
                                  <w:lang w:eastAsia="en-AU"/>
                                </w:rPr>
                                <w:br/>
                                <w:t> </w:t>
                              </w:r>
                            </w:p>
                          </w:tc>
                        </w:tr>
                      </w:tbl>
                      <w:p w:rsidR="00CD030A" w:rsidRPr="00CD030A" w:rsidRDefault="00CD030A" w:rsidP="00CD030A">
                        <w:pPr>
                          <w:spacing w:after="0" w:line="240" w:lineRule="auto"/>
                          <w:rPr>
                            <w:rFonts w:ascii="Times New Roman" w:eastAsia="Times New Roman" w:hAnsi="Times New Roman" w:cs="Times New Roman"/>
                            <w:sz w:val="24"/>
                            <w:szCs w:val="24"/>
                            <w:lang w:eastAsia="en-AU"/>
                          </w:rPr>
                        </w:pPr>
                      </w:p>
                    </w:tc>
                  </w:tr>
                </w:tbl>
                <w:p w:rsidR="00CD030A" w:rsidRPr="00CD030A" w:rsidRDefault="00CD030A" w:rsidP="00CD030A">
                  <w:pPr>
                    <w:spacing w:after="0" w:line="240" w:lineRule="auto"/>
                    <w:rPr>
                      <w:rFonts w:ascii="Times New Roman" w:eastAsia="Times New Roman" w:hAnsi="Times New Roman" w:cs="Times New Roman"/>
                      <w:sz w:val="24"/>
                      <w:szCs w:val="24"/>
                      <w:lang w:eastAsia="en-AU"/>
                    </w:rPr>
                  </w:pPr>
                </w:p>
              </w:tc>
            </w:tr>
          </w:tbl>
          <w:p w:rsidR="00CD030A" w:rsidRPr="00CD030A" w:rsidRDefault="00CD030A" w:rsidP="00CD030A">
            <w:pPr>
              <w:spacing w:after="0" w:line="240" w:lineRule="auto"/>
              <w:jc w:val="center"/>
              <w:rPr>
                <w:rFonts w:ascii="Times New Roman" w:eastAsia="Times New Roman" w:hAnsi="Times New Roman" w:cs="Times New Roman"/>
                <w:color w:val="000000"/>
                <w:sz w:val="27"/>
                <w:szCs w:val="27"/>
                <w:lang w:eastAsia="en-AU"/>
              </w:rPr>
            </w:pPr>
          </w:p>
        </w:tc>
      </w:tr>
    </w:tbl>
    <w:p w:rsidR="008310B7" w:rsidRDefault="008310B7">
      <w:bookmarkStart w:id="0" w:name="_GoBack"/>
      <w:bookmarkEnd w:id="0"/>
    </w:p>
    <w:sectPr w:rsidR="008310B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20D82"/>
    <w:multiLevelType w:val="multilevel"/>
    <w:tmpl w:val="CD26D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30A"/>
    <w:rsid w:val="008310B7"/>
    <w:rsid w:val="00CD03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2D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D03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4">
    <w:name w:val="heading 4"/>
    <w:basedOn w:val="Normal"/>
    <w:link w:val="Heading4Char"/>
    <w:uiPriority w:val="9"/>
    <w:qFormat/>
    <w:rsid w:val="00CD030A"/>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30A"/>
    <w:rPr>
      <w:rFonts w:ascii="Times New Roman" w:eastAsia="Times New Roman" w:hAnsi="Times New Roman" w:cs="Times New Roman"/>
      <w:b/>
      <w:bCs/>
      <w:kern w:val="36"/>
      <w:sz w:val="48"/>
      <w:szCs w:val="48"/>
      <w:lang w:eastAsia="en-AU"/>
    </w:rPr>
  </w:style>
  <w:style w:type="character" w:customStyle="1" w:styleId="Heading4Char">
    <w:name w:val="Heading 4 Char"/>
    <w:basedOn w:val="DefaultParagraphFont"/>
    <w:link w:val="Heading4"/>
    <w:uiPriority w:val="9"/>
    <w:rsid w:val="00CD030A"/>
    <w:rPr>
      <w:rFonts w:ascii="Times New Roman" w:eastAsia="Times New Roman" w:hAnsi="Times New Roman" w:cs="Times New Roman"/>
      <w:b/>
      <w:bCs/>
      <w:sz w:val="24"/>
      <w:szCs w:val="24"/>
      <w:lang w:eastAsia="en-AU"/>
    </w:rPr>
  </w:style>
  <w:style w:type="character" w:customStyle="1" w:styleId="apple-converted-space">
    <w:name w:val="apple-converted-space"/>
    <w:basedOn w:val="DefaultParagraphFont"/>
    <w:rsid w:val="00CD030A"/>
  </w:style>
  <w:style w:type="character" w:styleId="Emphasis">
    <w:name w:val="Emphasis"/>
    <w:basedOn w:val="DefaultParagraphFont"/>
    <w:uiPriority w:val="20"/>
    <w:qFormat/>
    <w:rsid w:val="00CD030A"/>
    <w:rPr>
      <w:i/>
      <w:iCs/>
    </w:rPr>
  </w:style>
  <w:style w:type="character" w:styleId="Strong">
    <w:name w:val="Strong"/>
    <w:basedOn w:val="DefaultParagraphFont"/>
    <w:uiPriority w:val="22"/>
    <w:qFormat/>
    <w:rsid w:val="00CD030A"/>
    <w:rPr>
      <w:b/>
      <w:bCs/>
    </w:rPr>
  </w:style>
  <w:style w:type="character" w:styleId="Hyperlink">
    <w:name w:val="Hyperlink"/>
    <w:basedOn w:val="DefaultParagraphFont"/>
    <w:uiPriority w:val="99"/>
    <w:semiHidden/>
    <w:unhideWhenUsed/>
    <w:rsid w:val="00CD030A"/>
    <w:rPr>
      <w:color w:val="0000FF"/>
      <w:u w:val="single"/>
    </w:rPr>
  </w:style>
  <w:style w:type="paragraph" w:styleId="BalloonText">
    <w:name w:val="Balloon Text"/>
    <w:basedOn w:val="Normal"/>
    <w:link w:val="BalloonTextChar"/>
    <w:uiPriority w:val="99"/>
    <w:semiHidden/>
    <w:unhideWhenUsed/>
    <w:rsid w:val="00CD03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3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D03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4">
    <w:name w:val="heading 4"/>
    <w:basedOn w:val="Normal"/>
    <w:link w:val="Heading4Char"/>
    <w:uiPriority w:val="9"/>
    <w:qFormat/>
    <w:rsid w:val="00CD030A"/>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30A"/>
    <w:rPr>
      <w:rFonts w:ascii="Times New Roman" w:eastAsia="Times New Roman" w:hAnsi="Times New Roman" w:cs="Times New Roman"/>
      <w:b/>
      <w:bCs/>
      <w:kern w:val="36"/>
      <w:sz w:val="48"/>
      <w:szCs w:val="48"/>
      <w:lang w:eastAsia="en-AU"/>
    </w:rPr>
  </w:style>
  <w:style w:type="character" w:customStyle="1" w:styleId="Heading4Char">
    <w:name w:val="Heading 4 Char"/>
    <w:basedOn w:val="DefaultParagraphFont"/>
    <w:link w:val="Heading4"/>
    <w:uiPriority w:val="9"/>
    <w:rsid w:val="00CD030A"/>
    <w:rPr>
      <w:rFonts w:ascii="Times New Roman" w:eastAsia="Times New Roman" w:hAnsi="Times New Roman" w:cs="Times New Roman"/>
      <w:b/>
      <w:bCs/>
      <w:sz w:val="24"/>
      <w:szCs w:val="24"/>
      <w:lang w:eastAsia="en-AU"/>
    </w:rPr>
  </w:style>
  <w:style w:type="character" w:customStyle="1" w:styleId="apple-converted-space">
    <w:name w:val="apple-converted-space"/>
    <w:basedOn w:val="DefaultParagraphFont"/>
    <w:rsid w:val="00CD030A"/>
  </w:style>
  <w:style w:type="character" w:styleId="Emphasis">
    <w:name w:val="Emphasis"/>
    <w:basedOn w:val="DefaultParagraphFont"/>
    <w:uiPriority w:val="20"/>
    <w:qFormat/>
    <w:rsid w:val="00CD030A"/>
    <w:rPr>
      <w:i/>
      <w:iCs/>
    </w:rPr>
  </w:style>
  <w:style w:type="character" w:styleId="Strong">
    <w:name w:val="Strong"/>
    <w:basedOn w:val="DefaultParagraphFont"/>
    <w:uiPriority w:val="22"/>
    <w:qFormat/>
    <w:rsid w:val="00CD030A"/>
    <w:rPr>
      <w:b/>
      <w:bCs/>
    </w:rPr>
  </w:style>
  <w:style w:type="character" w:styleId="Hyperlink">
    <w:name w:val="Hyperlink"/>
    <w:basedOn w:val="DefaultParagraphFont"/>
    <w:uiPriority w:val="99"/>
    <w:semiHidden/>
    <w:unhideWhenUsed/>
    <w:rsid w:val="00CD030A"/>
    <w:rPr>
      <w:color w:val="0000FF"/>
      <w:u w:val="single"/>
    </w:rPr>
  </w:style>
  <w:style w:type="paragraph" w:styleId="BalloonText">
    <w:name w:val="Balloon Text"/>
    <w:basedOn w:val="Normal"/>
    <w:link w:val="BalloonTextChar"/>
    <w:uiPriority w:val="99"/>
    <w:semiHidden/>
    <w:unhideWhenUsed/>
    <w:rsid w:val="00CD03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3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25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nningportal.nsw.gov.au/"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964</Words>
  <Characters>5496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Para Legal1</dc:creator>
  <cp:lastModifiedBy>Para Legal1</cp:lastModifiedBy>
  <cp:revision>1</cp:revision>
  <dcterms:created xsi:type="dcterms:W3CDTF">2016-08-23T01:26:00Z</dcterms:created>
  <dcterms:modified xsi:type="dcterms:W3CDTF">2016-08-23T01:27:00Z</dcterms:modified>
</cp:coreProperties>
</file>