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015"/>
      </w:tblGrid>
      <w:tr w:rsidR="00325BD5" w:rsidRPr="00325BD5" w:rsidTr="00325BD5">
        <w:tc>
          <w:tcPr>
            <w:tcW w:w="0" w:type="auto"/>
            <w:shd w:val="clear" w:color="auto" w:fill="FFFFFF"/>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325BD5" w:rsidRPr="00325BD5">
              <w:trPr>
                <w:jc w:val="center"/>
              </w:trPr>
              <w:tc>
                <w:tcPr>
                  <w:tcW w:w="0" w:type="auto"/>
                  <w:shd w:val="clear" w:color="auto" w:fill="FFFFFF"/>
                  <w:vAlign w:val="center"/>
                  <w:hideMark/>
                </w:tcPr>
                <w:p w:rsidR="00325BD5" w:rsidRPr="00325BD5" w:rsidRDefault="00325BD5" w:rsidP="00325BD5">
                  <w:pPr>
                    <w:spacing w:after="0" w:line="510" w:lineRule="atLeast"/>
                    <w:jc w:val="center"/>
                    <w:rPr>
                      <w:rFonts w:ascii="Arial" w:eastAsia="Times New Roman" w:hAnsi="Arial" w:cs="Arial"/>
                      <w:b/>
                      <w:bCs/>
                      <w:color w:val="202020"/>
                      <w:sz w:val="51"/>
                      <w:szCs w:val="51"/>
                      <w:lang w:eastAsia="en-AU"/>
                    </w:rPr>
                  </w:pPr>
                  <w:r w:rsidRPr="00325BD5">
                    <w:rPr>
                      <w:rFonts w:ascii="Arial" w:eastAsia="Times New Roman" w:hAnsi="Arial" w:cs="Arial"/>
                      <w:b/>
                      <w:bCs/>
                      <w:noProof/>
                      <w:color w:val="202020"/>
                      <w:sz w:val="51"/>
                      <w:szCs w:val="51"/>
                      <w:lang w:eastAsia="en-AU"/>
                    </w:rPr>
                    <w:drawing>
                      <wp:inline distT="0" distB="0" distL="0" distR="0" wp14:anchorId="68B7BF73" wp14:editId="6C387EAF">
                        <wp:extent cx="5715000" cy="1447800"/>
                        <wp:effectExtent l="0" t="0" r="0" b="0"/>
                        <wp:docPr id="1" name="Picture 1" descr="https://gallery.mailchimp.com/d7ac35d590989fce96f6014e9/images/Screen_shot_logo_phone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allery.mailchimp.com/d7ac35d590989fce96f6014e9/images/Screen_shot_logo_phone_6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1447800"/>
                                </a:xfrm>
                                <a:prstGeom prst="rect">
                                  <a:avLst/>
                                </a:prstGeom>
                                <a:noFill/>
                                <a:ln>
                                  <a:noFill/>
                                </a:ln>
                              </pic:spPr>
                            </pic:pic>
                          </a:graphicData>
                        </a:graphic>
                      </wp:inline>
                    </w:drawing>
                  </w:r>
                </w:p>
              </w:tc>
            </w:tr>
          </w:tbl>
          <w:p w:rsidR="00325BD5" w:rsidRPr="00325BD5" w:rsidRDefault="00325BD5" w:rsidP="00325BD5">
            <w:pPr>
              <w:spacing w:after="0" w:line="240" w:lineRule="auto"/>
              <w:jc w:val="center"/>
              <w:rPr>
                <w:rFonts w:ascii="Times New Roman" w:eastAsia="Times New Roman" w:hAnsi="Times New Roman" w:cs="Times New Roman"/>
                <w:color w:val="000000"/>
                <w:sz w:val="27"/>
                <w:szCs w:val="27"/>
                <w:lang w:eastAsia="en-AU"/>
              </w:rPr>
            </w:pPr>
          </w:p>
        </w:tc>
      </w:tr>
      <w:tr w:rsidR="00325BD5" w:rsidRPr="00325BD5" w:rsidTr="00325BD5">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325BD5" w:rsidRPr="00325BD5">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325BD5" w:rsidRPr="00325BD5">
                    <w:tc>
                      <w:tcPr>
                        <w:tcW w:w="0" w:type="auto"/>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325BD5" w:rsidRPr="00325BD5">
                          <w:tc>
                            <w:tcPr>
                              <w:tcW w:w="0" w:type="auto"/>
                              <w:hideMark/>
                            </w:tcPr>
                            <w:p w:rsidR="00325BD5" w:rsidRPr="00325BD5" w:rsidRDefault="00325BD5" w:rsidP="00325BD5">
                              <w:pPr>
                                <w:spacing w:after="150" w:line="510" w:lineRule="atLeast"/>
                                <w:outlineLvl w:val="0"/>
                                <w:rPr>
                                  <w:rFonts w:ascii="Arial" w:eastAsia="Times New Roman" w:hAnsi="Arial" w:cs="Arial"/>
                                  <w:b/>
                                  <w:bCs/>
                                  <w:color w:val="202020"/>
                                  <w:kern w:val="36"/>
                                  <w:sz w:val="51"/>
                                  <w:szCs w:val="51"/>
                                  <w:lang w:eastAsia="en-AU"/>
                                </w:rPr>
                              </w:pPr>
                              <w:r w:rsidRPr="00325BD5">
                                <w:rPr>
                                  <w:rFonts w:ascii="Arial" w:eastAsia="Times New Roman" w:hAnsi="Arial" w:cs="Arial"/>
                                  <w:b/>
                                  <w:bCs/>
                                  <w:color w:val="202020"/>
                                  <w:kern w:val="36"/>
                                  <w:sz w:val="51"/>
                                  <w:szCs w:val="51"/>
                                  <w:lang w:eastAsia="en-AU"/>
                                </w:rPr>
                                <w:t>November 2013 Newsletter</w:t>
                              </w:r>
                            </w:p>
                            <w:p w:rsidR="00325BD5" w:rsidRPr="00325BD5" w:rsidRDefault="00325BD5" w:rsidP="00325BD5">
                              <w:pPr>
                                <w:spacing w:after="0" w:line="240" w:lineRule="auto"/>
                                <w:rPr>
                                  <w:rFonts w:ascii="Times New Roman" w:eastAsia="Times New Roman" w:hAnsi="Times New Roman" w:cs="Times New Roman"/>
                                  <w:sz w:val="24"/>
                                  <w:szCs w:val="24"/>
                                  <w:lang w:eastAsia="en-AU"/>
                                </w:rPr>
                              </w:pPr>
                              <w:r w:rsidRPr="00325BD5">
                                <w:rPr>
                                  <w:rFonts w:ascii="Times New Roman" w:eastAsia="Times New Roman" w:hAnsi="Times New Roman" w:cs="Times New Roman"/>
                                  <w:noProof/>
                                  <w:sz w:val="24"/>
                                  <w:szCs w:val="24"/>
                                  <w:lang w:eastAsia="en-AU"/>
                                </w:rPr>
                                <w:drawing>
                                  <wp:inline distT="0" distB="0" distL="0" distR="0" wp14:anchorId="29A1B381" wp14:editId="3B7017CE">
                                    <wp:extent cx="9525" cy="9525"/>
                                    <wp:effectExtent l="0" t="0" r="0" b="0"/>
                                    <wp:docPr id="2" name="Picture 2" descr="http://gallery.mailchimp.com/653153ae841fd11de66ad181a/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allery.mailchimp.com/653153ae841fd11de66ad181a/images/transparen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325BD5" w:rsidRPr="00325BD5" w:rsidRDefault="00325BD5" w:rsidP="00325BD5">
                              <w:pPr>
                                <w:spacing w:after="150" w:line="510" w:lineRule="atLeast"/>
                                <w:outlineLvl w:val="0"/>
                                <w:rPr>
                                  <w:rFonts w:ascii="Arial" w:eastAsia="Times New Roman" w:hAnsi="Arial" w:cs="Arial"/>
                                  <w:b/>
                                  <w:bCs/>
                                  <w:color w:val="202020"/>
                                  <w:kern w:val="36"/>
                                  <w:sz w:val="51"/>
                                  <w:szCs w:val="51"/>
                                  <w:lang w:eastAsia="en-AU"/>
                                </w:rPr>
                              </w:pPr>
                              <w:r w:rsidRPr="00325BD5">
                                <w:rPr>
                                  <w:rFonts w:ascii="Arial" w:eastAsia="Times New Roman" w:hAnsi="Arial" w:cs="Arial"/>
                                  <w:b/>
                                  <w:bCs/>
                                  <w:color w:val="202020"/>
                                  <w:kern w:val="36"/>
                                  <w:sz w:val="36"/>
                                  <w:szCs w:val="36"/>
                                  <w:lang w:eastAsia="en-AU"/>
                                </w:rPr>
                                <w:t>NSW New Home Grant Scheme</w:t>
                              </w:r>
                            </w:p>
                            <w:p w:rsidR="00325BD5" w:rsidRPr="00325BD5" w:rsidRDefault="00325BD5" w:rsidP="00325BD5">
                              <w:pPr>
                                <w:spacing w:after="0" w:line="315" w:lineRule="atLeast"/>
                                <w:rPr>
                                  <w:rFonts w:ascii="Arial" w:eastAsia="Times New Roman" w:hAnsi="Arial" w:cs="Arial"/>
                                  <w:color w:val="505050"/>
                                  <w:sz w:val="21"/>
                                  <w:szCs w:val="21"/>
                                  <w:lang w:eastAsia="en-AU"/>
                                </w:rPr>
                              </w:pPr>
                              <w:r w:rsidRPr="00325BD5">
                                <w:rPr>
                                  <w:rFonts w:ascii="Arial" w:eastAsia="Times New Roman" w:hAnsi="Arial" w:cs="Arial"/>
                                  <w:color w:val="505050"/>
                                  <w:sz w:val="21"/>
                                  <w:szCs w:val="21"/>
                                  <w:lang w:eastAsia="en-AU"/>
                                </w:rPr>
                                <w:t>A grant of $5,000 is now available to buyers of off-the-plan or newly built homes up to a value of $650,000 and for vacant land to the value of $450,000 where a new home is intended to be built. The grant will be applied as a credit against liability for duty on sale or transfer (also known as a stamp duty) but will paid by cheque should the duty already have been paid or there is a balance of the grant owing, where, for instance, the total duty payable is less than the amount of the grant.</w:t>
                              </w:r>
                              <w:r w:rsidRPr="00325BD5">
                                <w:rPr>
                                  <w:rFonts w:ascii="Arial" w:eastAsia="Times New Roman" w:hAnsi="Arial" w:cs="Arial"/>
                                  <w:color w:val="505050"/>
                                  <w:sz w:val="21"/>
                                  <w:szCs w:val="21"/>
                                  <w:lang w:eastAsia="en-AU"/>
                                </w:rPr>
                                <w:br/>
                              </w:r>
                              <w:r w:rsidRPr="00325BD5">
                                <w:rPr>
                                  <w:rFonts w:ascii="Arial" w:eastAsia="Times New Roman" w:hAnsi="Arial" w:cs="Arial"/>
                                  <w:color w:val="505050"/>
                                  <w:sz w:val="21"/>
                                  <w:szCs w:val="21"/>
                                  <w:lang w:eastAsia="en-AU"/>
                                </w:rPr>
                                <w:br/>
                                <w:t>Unlike previous similar grants this grant is not restricted to new home buyers but is also available to investors and to entities such as companies or trustees of a trust. As such, there are no restrictions on the number of times a purchaser can apply for this grant. Although, it should be noted that no other grant can be paid with respect to that property so if you are entitled to other grants make sure you choose wisely to receive the greatest benefit.</w:t>
                              </w:r>
                              <w:r w:rsidRPr="00325BD5">
                                <w:rPr>
                                  <w:rFonts w:ascii="Arial" w:eastAsia="Times New Roman" w:hAnsi="Arial" w:cs="Arial"/>
                                  <w:color w:val="505050"/>
                                  <w:sz w:val="21"/>
                                  <w:szCs w:val="21"/>
                                  <w:lang w:eastAsia="en-AU"/>
                                </w:rPr>
                                <w:br/>
                              </w:r>
                              <w:r w:rsidRPr="00325BD5">
                                <w:rPr>
                                  <w:rFonts w:ascii="Arial" w:eastAsia="Times New Roman" w:hAnsi="Arial" w:cs="Arial"/>
                                  <w:color w:val="505050"/>
                                  <w:sz w:val="21"/>
                                  <w:szCs w:val="21"/>
                                  <w:lang w:eastAsia="en-AU"/>
                                </w:rPr>
                                <w:br/>
                                <w:t xml:space="preserve">A final word, applications must be received within 3 months of the date of execution of the contract and for vacant land </w:t>
                              </w:r>
                              <w:proofErr w:type="gramStart"/>
                              <w:r w:rsidRPr="00325BD5">
                                <w:rPr>
                                  <w:rFonts w:ascii="Arial" w:eastAsia="Times New Roman" w:hAnsi="Arial" w:cs="Arial"/>
                                  <w:color w:val="505050"/>
                                  <w:sz w:val="21"/>
                                  <w:szCs w:val="21"/>
                                  <w:lang w:eastAsia="en-AU"/>
                                </w:rPr>
                                <w:t>laying</w:t>
                              </w:r>
                              <w:proofErr w:type="gramEnd"/>
                              <w:r w:rsidRPr="00325BD5">
                                <w:rPr>
                                  <w:rFonts w:ascii="Arial" w:eastAsia="Times New Roman" w:hAnsi="Arial" w:cs="Arial"/>
                                  <w:color w:val="505050"/>
                                  <w:sz w:val="21"/>
                                  <w:szCs w:val="21"/>
                                  <w:lang w:eastAsia="en-AU"/>
                                </w:rPr>
                                <w:t xml:space="preserve"> of the foundations must commence within 26 weeks of completion of the purchase.</w:t>
                              </w:r>
                              <w:r w:rsidRPr="00325BD5">
                                <w:rPr>
                                  <w:rFonts w:ascii="Arial" w:eastAsia="Times New Roman" w:hAnsi="Arial" w:cs="Arial"/>
                                  <w:color w:val="505050"/>
                                  <w:sz w:val="21"/>
                                  <w:szCs w:val="21"/>
                                  <w:lang w:eastAsia="en-AU"/>
                                </w:rPr>
                                <w:br/>
                              </w:r>
                              <w:r w:rsidRPr="00325BD5">
                                <w:rPr>
                                  <w:rFonts w:ascii="Arial" w:eastAsia="Times New Roman" w:hAnsi="Arial" w:cs="Arial"/>
                                  <w:color w:val="505050"/>
                                  <w:sz w:val="21"/>
                                  <w:szCs w:val="21"/>
                                  <w:lang w:eastAsia="en-AU"/>
                                </w:rPr>
                                <w:br/>
                                <w:t>For further information, please refer to the </w:t>
                              </w:r>
                              <w:hyperlink r:id="rId7" w:tgtFrame="_blank" w:tooltip="Fact Sheet - NSW Grant" w:history="1">
                                <w:r w:rsidRPr="00325BD5">
                                  <w:rPr>
                                    <w:rFonts w:ascii="Arial" w:eastAsia="Times New Roman" w:hAnsi="Arial" w:cs="Arial"/>
                                    <w:color w:val="336699"/>
                                    <w:sz w:val="21"/>
                                    <w:szCs w:val="21"/>
                                    <w:u w:val="single"/>
                                    <w:lang w:eastAsia="en-AU"/>
                                  </w:rPr>
                                  <w:t>Fact Sheet</w:t>
                                </w:r>
                              </w:hyperlink>
                              <w:r w:rsidRPr="00325BD5">
                                <w:rPr>
                                  <w:rFonts w:ascii="Arial" w:eastAsia="Times New Roman" w:hAnsi="Arial" w:cs="Arial"/>
                                  <w:color w:val="505050"/>
                                  <w:sz w:val="21"/>
                                  <w:szCs w:val="21"/>
                                  <w:lang w:eastAsia="en-AU"/>
                                </w:rPr>
                                <w:t> on the Office of State Revenue Website.</w:t>
                              </w:r>
                            </w:p>
                          </w:tc>
                        </w:tr>
                      </w:tbl>
                      <w:p w:rsidR="00325BD5" w:rsidRPr="00325BD5" w:rsidRDefault="00325BD5" w:rsidP="00325BD5">
                        <w:pPr>
                          <w:spacing w:after="0" w:line="240" w:lineRule="auto"/>
                          <w:rPr>
                            <w:rFonts w:ascii="Times New Roman" w:eastAsia="Times New Roman" w:hAnsi="Times New Roman" w:cs="Times New Roman"/>
                            <w:sz w:val="24"/>
                            <w:szCs w:val="24"/>
                            <w:lang w:eastAsia="en-AU"/>
                          </w:rPr>
                        </w:pPr>
                      </w:p>
                    </w:tc>
                  </w:tr>
                  <w:tr w:rsidR="00325BD5" w:rsidRPr="00325BD5">
                    <w:tc>
                      <w:tcPr>
                        <w:tcW w:w="0" w:type="auto"/>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325BD5" w:rsidRPr="00325BD5">
                          <w:tc>
                            <w:tcPr>
                              <w:tcW w:w="0" w:type="auto"/>
                              <w:hideMark/>
                            </w:tcPr>
                            <w:p w:rsidR="00325BD5" w:rsidRPr="00325BD5" w:rsidRDefault="00325BD5" w:rsidP="00325BD5">
                              <w:pPr>
                                <w:spacing w:after="0" w:line="240" w:lineRule="auto"/>
                                <w:rPr>
                                  <w:rFonts w:ascii="Times New Roman" w:eastAsia="Times New Roman" w:hAnsi="Times New Roman" w:cs="Times New Roman"/>
                                  <w:sz w:val="24"/>
                                  <w:szCs w:val="24"/>
                                  <w:lang w:eastAsia="en-AU"/>
                                </w:rPr>
                              </w:pPr>
                              <w:r w:rsidRPr="00325BD5">
                                <w:rPr>
                                  <w:rFonts w:ascii="Times New Roman" w:eastAsia="Times New Roman" w:hAnsi="Times New Roman" w:cs="Times New Roman"/>
                                  <w:noProof/>
                                  <w:sz w:val="24"/>
                                  <w:szCs w:val="24"/>
                                  <w:lang w:eastAsia="en-AU"/>
                                </w:rPr>
                                <w:drawing>
                                  <wp:inline distT="0" distB="0" distL="0" distR="0" wp14:anchorId="0B489CDB" wp14:editId="7BB6414A">
                                    <wp:extent cx="9525" cy="9525"/>
                                    <wp:effectExtent l="0" t="0" r="0" b="0"/>
                                    <wp:docPr id="3" name="Picture 3" descr="http://gallery.mailchimp.com/653153ae841fd11de66ad181a/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allery.mailchimp.com/653153ae841fd11de66ad181a/images/transparen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325BD5" w:rsidRPr="00325BD5" w:rsidRDefault="00325BD5" w:rsidP="00325BD5">
                              <w:pPr>
                                <w:spacing w:after="150" w:line="330" w:lineRule="atLeast"/>
                                <w:outlineLvl w:val="3"/>
                                <w:rPr>
                                  <w:rFonts w:ascii="Arial" w:eastAsia="Times New Roman" w:hAnsi="Arial" w:cs="Arial"/>
                                  <w:b/>
                                  <w:bCs/>
                                  <w:color w:val="202020"/>
                                  <w:sz w:val="33"/>
                                  <w:szCs w:val="33"/>
                                  <w:lang w:eastAsia="en-AU"/>
                                </w:rPr>
                              </w:pPr>
                              <w:r w:rsidRPr="00325BD5">
                                <w:rPr>
                                  <w:rFonts w:ascii="Arial" w:eastAsia="Times New Roman" w:hAnsi="Arial" w:cs="Arial"/>
                                  <w:b/>
                                  <w:bCs/>
                                  <w:color w:val="202020"/>
                                  <w:sz w:val="33"/>
                                  <w:szCs w:val="33"/>
                                  <w:lang w:eastAsia="en-AU"/>
                                </w:rPr>
                                <w:t>Estate Planning</w:t>
                              </w:r>
                            </w:p>
                            <w:p w:rsidR="00325BD5" w:rsidRPr="00325BD5" w:rsidRDefault="00325BD5" w:rsidP="00325BD5">
                              <w:pPr>
                                <w:spacing w:after="0" w:line="315" w:lineRule="atLeast"/>
                                <w:rPr>
                                  <w:rFonts w:ascii="Arial" w:eastAsia="Times New Roman" w:hAnsi="Arial" w:cs="Arial"/>
                                  <w:color w:val="505050"/>
                                  <w:sz w:val="21"/>
                                  <w:szCs w:val="21"/>
                                  <w:lang w:eastAsia="en-AU"/>
                                </w:rPr>
                              </w:pPr>
                              <w:r w:rsidRPr="00325BD5">
                                <w:rPr>
                                  <w:rFonts w:ascii="Arial" w:eastAsia="Times New Roman" w:hAnsi="Arial" w:cs="Arial"/>
                                  <w:color w:val="505050"/>
                                  <w:sz w:val="21"/>
                                  <w:szCs w:val="21"/>
                                  <w:lang w:eastAsia="en-AU"/>
                                </w:rPr>
                                <w:t>An estate plan can be a combination of a Will, a Power of Attorney and an Enduring Guardianship as well as any superannuation you may have, which requires binding nominations to be made independent of your Will and any life insurance policies you hold. These should all be regularly reviewed to ensure that they are appropriate to your changing circumstances.</w:t>
                              </w:r>
                              <w:r w:rsidRPr="00325BD5">
                                <w:rPr>
                                  <w:rFonts w:ascii="Arial" w:eastAsia="Times New Roman" w:hAnsi="Arial" w:cs="Arial"/>
                                  <w:color w:val="505050"/>
                                  <w:sz w:val="21"/>
                                  <w:szCs w:val="21"/>
                                  <w:lang w:eastAsia="en-AU"/>
                                </w:rPr>
                                <w:br/>
                              </w:r>
                              <w:r w:rsidRPr="00325BD5">
                                <w:rPr>
                                  <w:rFonts w:ascii="Arial" w:eastAsia="Times New Roman" w:hAnsi="Arial" w:cs="Arial"/>
                                  <w:color w:val="505050"/>
                                  <w:sz w:val="21"/>
                                  <w:szCs w:val="21"/>
                                  <w:lang w:eastAsia="en-AU"/>
                                </w:rPr>
                                <w:lastRenderedPageBreak/>
                                <w:t>People live longer than they used to and as such need their savings, accrued during their working life, to last longer than ever before. In addition, social relations are often more complex than in previous generations due to many people marrying more than once and the prevalence of blended families. These factors make it even more important to have a detailed estate plan in place to ensure that proper provision is made for the people you care for and to whom you owe a legal and a moral obligation.</w:t>
                              </w:r>
                              <w:r w:rsidRPr="00325BD5">
                                <w:rPr>
                                  <w:rFonts w:ascii="Arial" w:eastAsia="Times New Roman" w:hAnsi="Arial" w:cs="Arial"/>
                                  <w:color w:val="505050"/>
                                  <w:sz w:val="21"/>
                                  <w:szCs w:val="21"/>
                                  <w:lang w:eastAsia="en-AU"/>
                                </w:rPr>
                                <w:br/>
                                <w:t>Additionally, if you were to lose capacity to make lifestyle or financial decisions then it is important that you have:</w:t>
                              </w:r>
                              <w:r w:rsidRPr="00325BD5">
                                <w:rPr>
                                  <w:rFonts w:ascii="Arial" w:eastAsia="Times New Roman" w:hAnsi="Arial" w:cs="Arial"/>
                                  <w:color w:val="505050"/>
                                  <w:sz w:val="21"/>
                                  <w:szCs w:val="21"/>
                                  <w:lang w:eastAsia="en-AU"/>
                                </w:rPr>
                                <w:br/>
                              </w:r>
                              <w:r w:rsidRPr="00325BD5">
                                <w:rPr>
                                  <w:rFonts w:ascii="Arial" w:eastAsia="Times New Roman" w:hAnsi="Arial" w:cs="Arial"/>
                                  <w:color w:val="505050"/>
                                  <w:sz w:val="21"/>
                                  <w:szCs w:val="21"/>
                                  <w:lang w:eastAsia="en-AU"/>
                                </w:rPr>
                                <w:br/>
                                <w:t>     1</w:t>
                              </w:r>
                              <w:proofErr w:type="gramStart"/>
                              <w:r w:rsidRPr="00325BD5">
                                <w:rPr>
                                  <w:rFonts w:ascii="Arial" w:eastAsia="Times New Roman" w:hAnsi="Arial" w:cs="Arial"/>
                                  <w:color w:val="505050"/>
                                  <w:sz w:val="21"/>
                                  <w:szCs w:val="21"/>
                                  <w:lang w:eastAsia="en-AU"/>
                                </w:rPr>
                                <w:t>.  an</w:t>
                              </w:r>
                              <w:proofErr w:type="gramEnd"/>
                              <w:r w:rsidRPr="00325BD5">
                                <w:rPr>
                                  <w:rFonts w:ascii="Arial" w:eastAsia="Times New Roman" w:hAnsi="Arial" w:cs="Arial"/>
                                  <w:color w:val="505050"/>
                                  <w:sz w:val="21"/>
                                  <w:szCs w:val="21"/>
                                  <w:lang w:eastAsia="en-AU"/>
                                </w:rPr>
                                <w:t xml:space="preserve"> Enduring Guardianship Appointment, to make decisions concerning where you will live and with whom and to make decisions about medical and dental treatment you may require; and</w:t>
                              </w:r>
                              <w:r w:rsidRPr="00325BD5">
                                <w:rPr>
                                  <w:rFonts w:ascii="Arial" w:eastAsia="Times New Roman" w:hAnsi="Arial" w:cs="Arial"/>
                                  <w:color w:val="505050"/>
                                  <w:sz w:val="21"/>
                                  <w:szCs w:val="21"/>
                                  <w:lang w:eastAsia="en-AU"/>
                                </w:rPr>
                                <w:br/>
                                <w:t> </w:t>
                              </w:r>
                              <w:r w:rsidRPr="00325BD5">
                                <w:rPr>
                                  <w:rFonts w:ascii="Arial" w:eastAsia="Times New Roman" w:hAnsi="Arial" w:cs="Arial"/>
                                  <w:color w:val="505050"/>
                                  <w:sz w:val="21"/>
                                  <w:szCs w:val="21"/>
                                  <w:lang w:eastAsia="en-AU"/>
                                </w:rPr>
                                <w:br/>
                                <w:t>     2.  an enduring Power of Attorney to manage your financial affairs.</w:t>
                              </w:r>
                              <w:r w:rsidRPr="00325BD5">
                                <w:rPr>
                                  <w:rFonts w:ascii="Arial" w:eastAsia="Times New Roman" w:hAnsi="Arial" w:cs="Arial"/>
                                  <w:color w:val="505050"/>
                                  <w:sz w:val="21"/>
                                  <w:szCs w:val="21"/>
                                  <w:lang w:eastAsia="en-AU"/>
                                </w:rPr>
                                <w:br/>
                                <w:t> </w:t>
                              </w:r>
                              <w:r w:rsidRPr="00325BD5">
                                <w:rPr>
                                  <w:rFonts w:ascii="Arial" w:eastAsia="Times New Roman" w:hAnsi="Arial" w:cs="Arial"/>
                                  <w:color w:val="505050"/>
                                  <w:sz w:val="21"/>
                                  <w:szCs w:val="21"/>
                                  <w:lang w:eastAsia="en-AU"/>
                                </w:rPr>
                                <w:br/>
                                <w:t>We can help to ensure that your intended beneficiaries will receive the maximum benefit from your estate.</w:t>
                              </w:r>
                            </w:p>
                          </w:tc>
                        </w:tr>
                      </w:tbl>
                      <w:p w:rsidR="00325BD5" w:rsidRPr="00325BD5" w:rsidRDefault="00325BD5" w:rsidP="00325BD5">
                        <w:pPr>
                          <w:spacing w:after="0" w:line="240" w:lineRule="auto"/>
                          <w:rPr>
                            <w:rFonts w:ascii="Times New Roman" w:eastAsia="Times New Roman" w:hAnsi="Times New Roman" w:cs="Times New Roman"/>
                            <w:sz w:val="24"/>
                            <w:szCs w:val="24"/>
                            <w:lang w:eastAsia="en-AU"/>
                          </w:rPr>
                        </w:pPr>
                      </w:p>
                    </w:tc>
                  </w:tr>
                  <w:tr w:rsidR="00325BD5" w:rsidRPr="00325BD5">
                    <w:tc>
                      <w:tcPr>
                        <w:tcW w:w="0" w:type="auto"/>
                        <w:hideMark/>
                      </w:tcPr>
                      <w:tbl>
                        <w:tblPr>
                          <w:tblW w:w="5000" w:type="pct"/>
                          <w:tblCellMar>
                            <w:top w:w="300" w:type="dxa"/>
                            <w:left w:w="300" w:type="dxa"/>
                            <w:bottom w:w="300" w:type="dxa"/>
                            <w:right w:w="300" w:type="dxa"/>
                          </w:tblCellMar>
                          <w:tblLook w:val="04A0" w:firstRow="1" w:lastRow="0" w:firstColumn="1" w:lastColumn="0" w:noHBand="0" w:noVBand="1"/>
                        </w:tblPr>
                        <w:tblGrid>
                          <w:gridCol w:w="9000"/>
                        </w:tblGrid>
                        <w:tr w:rsidR="00325BD5" w:rsidRPr="00325BD5">
                          <w:tc>
                            <w:tcPr>
                              <w:tcW w:w="0" w:type="auto"/>
                              <w:hideMark/>
                            </w:tcPr>
                            <w:p w:rsidR="00325BD5" w:rsidRPr="00325BD5" w:rsidRDefault="00325BD5" w:rsidP="00325BD5">
                              <w:pPr>
                                <w:spacing w:after="150" w:line="510" w:lineRule="atLeast"/>
                                <w:outlineLvl w:val="0"/>
                                <w:rPr>
                                  <w:rFonts w:ascii="Arial" w:eastAsia="Times New Roman" w:hAnsi="Arial" w:cs="Arial"/>
                                  <w:b/>
                                  <w:bCs/>
                                  <w:color w:val="202020"/>
                                  <w:kern w:val="36"/>
                                  <w:sz w:val="51"/>
                                  <w:szCs w:val="51"/>
                                  <w:lang w:eastAsia="en-AU"/>
                                </w:rPr>
                              </w:pPr>
                              <w:r w:rsidRPr="00325BD5">
                                <w:rPr>
                                  <w:rFonts w:ascii="Arial" w:eastAsia="Times New Roman" w:hAnsi="Arial" w:cs="Arial"/>
                                  <w:b/>
                                  <w:bCs/>
                                  <w:color w:val="202020"/>
                                  <w:kern w:val="36"/>
                                  <w:sz w:val="51"/>
                                  <w:szCs w:val="51"/>
                                  <w:lang w:eastAsia="en-AU"/>
                                </w:rPr>
                                <w:lastRenderedPageBreak/>
                                <w:t>Law Society Newsletter</w:t>
                              </w:r>
                            </w:p>
                            <w:p w:rsidR="00325BD5" w:rsidRPr="00325BD5" w:rsidRDefault="00325BD5" w:rsidP="00325BD5">
                              <w:pPr>
                                <w:spacing w:after="0" w:line="315" w:lineRule="atLeast"/>
                                <w:rPr>
                                  <w:rFonts w:ascii="Arial" w:eastAsia="Times New Roman" w:hAnsi="Arial" w:cs="Arial"/>
                                  <w:color w:val="505050"/>
                                  <w:sz w:val="21"/>
                                  <w:szCs w:val="21"/>
                                  <w:lang w:eastAsia="en-AU"/>
                                </w:rPr>
                              </w:pPr>
                              <w:r w:rsidRPr="00325BD5">
                                <w:rPr>
                                  <w:rFonts w:ascii="Arial" w:eastAsia="Times New Roman" w:hAnsi="Arial" w:cs="Arial"/>
                                  <w:color w:val="505050"/>
                                  <w:sz w:val="21"/>
                                  <w:szCs w:val="21"/>
                                  <w:lang w:eastAsia="en-AU"/>
                                </w:rPr>
                                <w:t>For more information on a variety of legal topics the Law Society of New South Wales publishes a quarterly </w:t>
                              </w:r>
                              <w:hyperlink r:id="rId8" w:tgtFrame="_blank" w:history="1">
                                <w:r w:rsidRPr="00325BD5">
                                  <w:rPr>
                                    <w:rFonts w:ascii="Arial" w:eastAsia="Times New Roman" w:hAnsi="Arial" w:cs="Arial"/>
                                    <w:color w:val="336699"/>
                                    <w:sz w:val="21"/>
                                    <w:szCs w:val="21"/>
                                    <w:u w:val="single"/>
                                    <w:lang w:eastAsia="en-AU"/>
                                  </w:rPr>
                                  <w:t>newsletter which you can view here</w:t>
                                </w:r>
                              </w:hyperlink>
                              <w:r w:rsidRPr="00325BD5">
                                <w:rPr>
                                  <w:rFonts w:ascii="Arial" w:eastAsia="Times New Roman" w:hAnsi="Arial" w:cs="Arial"/>
                                  <w:color w:val="505050"/>
                                  <w:sz w:val="21"/>
                                  <w:szCs w:val="21"/>
                                  <w:lang w:eastAsia="en-AU"/>
                                </w:rPr>
                                <w:t>.</w:t>
                              </w:r>
                            </w:p>
                            <w:p w:rsidR="00325BD5" w:rsidRPr="00325BD5" w:rsidRDefault="00325BD5" w:rsidP="00325BD5">
                              <w:pPr>
                                <w:spacing w:after="0" w:line="240" w:lineRule="auto"/>
                                <w:rPr>
                                  <w:rFonts w:ascii="Times New Roman" w:eastAsia="Times New Roman" w:hAnsi="Times New Roman" w:cs="Times New Roman"/>
                                  <w:sz w:val="24"/>
                                  <w:szCs w:val="24"/>
                                  <w:lang w:eastAsia="en-AU"/>
                                </w:rPr>
                              </w:pPr>
                              <w:r w:rsidRPr="00325BD5">
                                <w:rPr>
                                  <w:rFonts w:ascii="Times New Roman" w:eastAsia="Times New Roman" w:hAnsi="Times New Roman" w:cs="Times New Roman"/>
                                  <w:noProof/>
                                  <w:sz w:val="24"/>
                                  <w:szCs w:val="24"/>
                                  <w:lang w:eastAsia="en-AU"/>
                                </w:rPr>
                                <w:drawing>
                                  <wp:inline distT="0" distB="0" distL="0" distR="0" wp14:anchorId="56B49E28" wp14:editId="6A244AA8">
                                    <wp:extent cx="9525" cy="9525"/>
                                    <wp:effectExtent l="0" t="0" r="0" b="0"/>
                                    <wp:docPr id="4" name="Picture 4" descr="http://gallery.mailchimp.com/653153ae841fd11de66ad181a/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gallery.mailchimp.com/653153ae841fd11de66ad181a/images/transparen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325BD5" w:rsidRPr="00325BD5" w:rsidRDefault="00325BD5" w:rsidP="00325BD5">
                              <w:pPr>
                                <w:spacing w:after="150" w:line="510" w:lineRule="atLeast"/>
                                <w:outlineLvl w:val="0"/>
                                <w:rPr>
                                  <w:rFonts w:ascii="Arial" w:eastAsia="Times New Roman" w:hAnsi="Arial" w:cs="Arial"/>
                                  <w:b/>
                                  <w:bCs/>
                                  <w:color w:val="202020"/>
                                  <w:kern w:val="36"/>
                                  <w:sz w:val="51"/>
                                  <w:szCs w:val="51"/>
                                  <w:lang w:eastAsia="en-AU"/>
                                </w:rPr>
                              </w:pPr>
                              <w:r w:rsidRPr="00325BD5">
                                <w:rPr>
                                  <w:rFonts w:ascii="Arial" w:eastAsia="Times New Roman" w:hAnsi="Arial" w:cs="Arial"/>
                                  <w:b/>
                                  <w:bCs/>
                                  <w:color w:val="202020"/>
                                  <w:kern w:val="36"/>
                                  <w:sz w:val="51"/>
                                  <w:szCs w:val="51"/>
                                  <w:lang w:eastAsia="en-AU"/>
                                </w:rPr>
                                <w:t>Surrogacy and Family Dispute Resolution</w:t>
                              </w:r>
                            </w:p>
                            <w:p w:rsidR="00325BD5" w:rsidRPr="00325BD5" w:rsidRDefault="00325BD5" w:rsidP="00325BD5">
                              <w:pPr>
                                <w:spacing w:after="0" w:line="315" w:lineRule="atLeast"/>
                                <w:rPr>
                                  <w:rFonts w:ascii="Arial" w:eastAsia="Times New Roman" w:hAnsi="Arial" w:cs="Arial"/>
                                  <w:color w:val="505050"/>
                                  <w:sz w:val="21"/>
                                  <w:szCs w:val="21"/>
                                  <w:lang w:eastAsia="en-AU"/>
                                </w:rPr>
                              </w:pPr>
                              <w:r w:rsidRPr="00325BD5">
                                <w:rPr>
                                  <w:rFonts w:ascii="Arial" w:eastAsia="Times New Roman" w:hAnsi="Arial" w:cs="Arial"/>
                                  <w:color w:val="505050"/>
                                  <w:sz w:val="21"/>
                                  <w:szCs w:val="21"/>
                                  <w:lang w:eastAsia="en-AU"/>
                                </w:rPr>
                                <w:t>Learn more about surrogacy law in Australia and the implications for family dispute resolution by reading the essay </w:t>
                              </w:r>
                              <w:hyperlink r:id="rId9" w:tgtFrame="_blank" w:history="1">
                                <w:r w:rsidRPr="00325BD5">
                                  <w:rPr>
                                    <w:rFonts w:ascii="Arial" w:eastAsia="Times New Roman" w:hAnsi="Arial" w:cs="Arial"/>
                                    <w:color w:val="336699"/>
                                    <w:sz w:val="21"/>
                                    <w:szCs w:val="21"/>
                                    <w:u w:val="single"/>
                                    <w:lang w:eastAsia="en-AU"/>
                                  </w:rPr>
                                  <w:t>"Surrogacy and Implications for Family Dispute Resolution"</w:t>
                                </w:r>
                              </w:hyperlink>
                              <w:r w:rsidRPr="00325BD5">
                                <w:rPr>
                                  <w:rFonts w:ascii="Arial" w:eastAsia="Times New Roman" w:hAnsi="Arial" w:cs="Arial"/>
                                  <w:color w:val="505050"/>
                                  <w:sz w:val="21"/>
                                  <w:szCs w:val="21"/>
                                  <w:lang w:eastAsia="en-AU"/>
                                </w:rPr>
                                <w:t> by Clive Mills which discusses and clarifies this complex and controversial area of Australian law. Please click on the title to read the article.</w:t>
                              </w:r>
                            </w:p>
                          </w:tc>
                        </w:tr>
                      </w:tbl>
                      <w:p w:rsidR="00325BD5" w:rsidRPr="00325BD5" w:rsidRDefault="00325BD5" w:rsidP="00325BD5">
                        <w:pPr>
                          <w:spacing w:after="0" w:line="240" w:lineRule="auto"/>
                          <w:rPr>
                            <w:rFonts w:ascii="Times New Roman" w:eastAsia="Times New Roman" w:hAnsi="Times New Roman" w:cs="Times New Roman"/>
                            <w:sz w:val="24"/>
                            <w:szCs w:val="24"/>
                            <w:lang w:eastAsia="en-AU"/>
                          </w:rPr>
                        </w:pPr>
                      </w:p>
                    </w:tc>
                  </w:tr>
                </w:tbl>
                <w:p w:rsidR="00325BD5" w:rsidRPr="00325BD5" w:rsidRDefault="00325BD5" w:rsidP="00325BD5">
                  <w:pPr>
                    <w:spacing w:after="0" w:line="240" w:lineRule="auto"/>
                    <w:rPr>
                      <w:rFonts w:ascii="Times New Roman" w:eastAsia="Times New Roman" w:hAnsi="Times New Roman" w:cs="Times New Roman"/>
                      <w:sz w:val="24"/>
                      <w:szCs w:val="24"/>
                      <w:lang w:eastAsia="en-AU"/>
                    </w:rPr>
                  </w:pPr>
                </w:p>
              </w:tc>
            </w:tr>
          </w:tbl>
          <w:p w:rsidR="00325BD5" w:rsidRPr="00325BD5" w:rsidRDefault="00325BD5" w:rsidP="00325BD5">
            <w:pPr>
              <w:spacing w:after="0" w:line="240" w:lineRule="auto"/>
              <w:jc w:val="center"/>
              <w:rPr>
                <w:rFonts w:ascii="Times New Roman" w:eastAsia="Times New Roman" w:hAnsi="Times New Roman" w:cs="Times New Roman"/>
                <w:color w:val="000000"/>
                <w:sz w:val="27"/>
                <w:szCs w:val="27"/>
                <w:lang w:eastAsia="en-AU"/>
              </w:rPr>
            </w:pPr>
          </w:p>
        </w:tc>
      </w:tr>
    </w:tbl>
    <w:p w:rsidR="007F0BDA" w:rsidRDefault="007F0BDA">
      <w:bookmarkStart w:id="0" w:name="_GoBack"/>
      <w:bookmarkEnd w:id="0"/>
    </w:p>
    <w:sectPr w:rsidR="007F0B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BD5"/>
    <w:rsid w:val="00325BD5"/>
    <w:rsid w:val="007F0B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21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5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B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5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B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62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allery.mailchimp.com/d7ac35d590989fce96f6014e9/files/2013_In_touch_with_the_law_client_newsletter.pdf" TargetMode="External"/><Relationship Id="rId3" Type="http://schemas.openxmlformats.org/officeDocument/2006/relationships/settings" Target="settings.xml"/><Relationship Id="rId7" Type="http://schemas.openxmlformats.org/officeDocument/2006/relationships/hyperlink" Target="http://www.osr.nsw.gov.au/lib/doc/factsheets/ofs_nhg1.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allery.mailchimp.com/d7ac35d590989fce96f6014e9/files/Surrogacy_and_Implications_for_Family_Dispute_Resolu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 Legal1</dc:creator>
  <cp:lastModifiedBy>Para Legal1</cp:lastModifiedBy>
  <cp:revision>1</cp:revision>
  <dcterms:created xsi:type="dcterms:W3CDTF">2016-08-23T01:06:00Z</dcterms:created>
  <dcterms:modified xsi:type="dcterms:W3CDTF">2016-08-23T01:07:00Z</dcterms:modified>
</cp:coreProperties>
</file>