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FAFAFA"/>
        <w:tblCellMar>
          <w:left w:w="0" w:type="dxa"/>
          <w:right w:w="0" w:type="dxa"/>
        </w:tblCellMar>
        <w:tblLook w:val="04A0" w:firstRow="1" w:lastRow="0" w:firstColumn="1" w:lastColumn="0" w:noHBand="0" w:noVBand="1"/>
      </w:tblPr>
      <w:tblGrid>
        <w:gridCol w:w="9026"/>
      </w:tblGrid>
      <w:tr w:rsidR="00EA443F" w:rsidRPr="00EA443F" w:rsidTr="00EA443F">
        <w:tc>
          <w:tcPr>
            <w:tcW w:w="0" w:type="auto"/>
            <w:shd w:val="clear" w:color="auto" w:fill="FAFAFA"/>
            <w:hideMark/>
          </w:tcPr>
          <w:tbl>
            <w:tblPr>
              <w:tblW w:w="9000" w:type="dxa"/>
              <w:jc w:val="center"/>
              <w:shd w:val="clear" w:color="auto" w:fill="FAFAFA"/>
              <w:tblCellMar>
                <w:top w:w="150" w:type="dxa"/>
                <w:left w:w="150" w:type="dxa"/>
                <w:bottom w:w="150" w:type="dxa"/>
                <w:right w:w="150" w:type="dxa"/>
              </w:tblCellMar>
              <w:tblLook w:val="04A0" w:firstRow="1" w:lastRow="0" w:firstColumn="1" w:lastColumn="0" w:noHBand="0" w:noVBand="1"/>
            </w:tblPr>
            <w:tblGrid>
              <w:gridCol w:w="9000"/>
            </w:tblGrid>
            <w:tr w:rsidR="00EA443F" w:rsidRPr="00EA443F">
              <w:trPr>
                <w:jc w:val="center"/>
              </w:trPr>
              <w:tc>
                <w:tcPr>
                  <w:tcW w:w="0" w:type="auto"/>
                  <w:shd w:val="clear" w:color="auto" w:fill="FAFAFA"/>
                  <w:hideMark/>
                </w:tcPr>
                <w:tbl>
                  <w:tblPr>
                    <w:tblW w:w="5000" w:type="pct"/>
                    <w:tblCellMar>
                      <w:top w:w="150" w:type="dxa"/>
                      <w:left w:w="150" w:type="dxa"/>
                      <w:bottom w:w="150" w:type="dxa"/>
                      <w:right w:w="150" w:type="dxa"/>
                    </w:tblCellMar>
                    <w:tblLook w:val="04A0" w:firstRow="1" w:lastRow="0" w:firstColumn="1" w:lastColumn="0" w:noHBand="0" w:noVBand="1"/>
                  </w:tblPr>
                  <w:tblGrid>
                    <w:gridCol w:w="8700"/>
                  </w:tblGrid>
                  <w:tr w:rsidR="00EA443F" w:rsidRPr="00EA443F">
                    <w:tc>
                      <w:tcPr>
                        <w:tcW w:w="0" w:type="auto"/>
                        <w:hideMark/>
                      </w:tcPr>
                      <w:p w:rsidR="00EA443F" w:rsidRPr="00EA443F" w:rsidRDefault="00EA443F" w:rsidP="00EA443F">
                        <w:pPr>
                          <w:spacing w:after="0" w:line="240" w:lineRule="auto"/>
                          <w:rPr>
                            <w:rFonts w:ascii="Times New Roman" w:eastAsia="Times New Roman" w:hAnsi="Times New Roman" w:cs="Times New Roman"/>
                            <w:sz w:val="24"/>
                            <w:szCs w:val="24"/>
                            <w:lang w:eastAsia="en-AU"/>
                          </w:rPr>
                        </w:pPr>
                      </w:p>
                    </w:tc>
                  </w:tr>
                </w:tbl>
                <w:p w:rsidR="00EA443F" w:rsidRPr="00EA443F" w:rsidRDefault="00EA443F" w:rsidP="00EA443F">
                  <w:pPr>
                    <w:spacing w:after="0" w:line="240" w:lineRule="auto"/>
                    <w:rPr>
                      <w:rFonts w:ascii="Times New Roman" w:eastAsia="Times New Roman" w:hAnsi="Times New Roman" w:cs="Times New Roman"/>
                      <w:sz w:val="24"/>
                      <w:szCs w:val="24"/>
                      <w:lang w:eastAsia="en-AU"/>
                    </w:rPr>
                  </w:pPr>
                </w:p>
              </w:tc>
            </w:tr>
          </w:tbl>
          <w:p w:rsidR="00EA443F" w:rsidRPr="00EA443F" w:rsidRDefault="00EA443F" w:rsidP="00EA443F">
            <w:pPr>
              <w:spacing w:after="0" w:line="240" w:lineRule="auto"/>
              <w:jc w:val="center"/>
              <w:rPr>
                <w:rFonts w:ascii="Times New Roman" w:eastAsia="Times New Roman" w:hAnsi="Times New Roman" w:cs="Times New Roman"/>
                <w:vanish/>
                <w:color w:val="000000"/>
                <w:sz w:val="27"/>
                <w:szCs w:val="27"/>
                <w:lang w:eastAsia="en-AU"/>
              </w:rPr>
            </w:pPr>
          </w:p>
          <w:tbl>
            <w:tblPr>
              <w:tblW w:w="9000" w:type="dxa"/>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9010"/>
            </w:tblGrid>
            <w:tr w:rsidR="00EA443F" w:rsidRPr="00EA443F">
              <w:trPr>
                <w:jc w:val="center"/>
              </w:trPr>
              <w:tc>
                <w:tcPr>
                  <w:tcW w:w="0" w:type="auto"/>
                  <w:shd w:val="clear" w:color="auto" w:fill="FFFFF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995"/>
                  </w:tblGrid>
                  <w:tr w:rsidR="00EA443F" w:rsidRPr="00EA443F">
                    <w:trPr>
                      <w:jc w:val="center"/>
                    </w:trPr>
                    <w:tc>
                      <w:tcPr>
                        <w:tcW w:w="0" w:type="auto"/>
                        <w:shd w:val="clear" w:color="auto" w:fill="FFFFFF"/>
                        <w:vAlign w:val="center"/>
                        <w:hideMark/>
                      </w:tcPr>
                      <w:p w:rsidR="00EA443F" w:rsidRPr="00EA443F" w:rsidRDefault="00EA443F" w:rsidP="00EA443F">
                        <w:pPr>
                          <w:spacing w:after="0" w:line="510" w:lineRule="atLeast"/>
                          <w:jc w:val="center"/>
                          <w:rPr>
                            <w:rFonts w:ascii="Arial" w:eastAsia="Times New Roman" w:hAnsi="Arial" w:cs="Arial"/>
                            <w:b/>
                            <w:bCs/>
                            <w:color w:val="202020"/>
                            <w:sz w:val="51"/>
                            <w:szCs w:val="51"/>
                            <w:lang w:eastAsia="en-AU"/>
                          </w:rPr>
                        </w:pPr>
                        <w:r>
                          <w:rPr>
                            <w:rFonts w:ascii="Arial" w:eastAsia="Times New Roman" w:hAnsi="Arial" w:cs="Arial"/>
                            <w:b/>
                            <w:bCs/>
                            <w:noProof/>
                            <w:color w:val="202020"/>
                            <w:sz w:val="51"/>
                            <w:szCs w:val="51"/>
                            <w:lang w:eastAsia="en-AU"/>
                          </w:rPr>
                          <w:drawing>
                            <wp:inline distT="0" distB="0" distL="0" distR="0">
                              <wp:extent cx="5715000" cy="2581275"/>
                              <wp:effectExtent l="0" t="0" r="0" b="9525"/>
                              <wp:docPr id="5" name="Picture 5" descr="https://gallery.mailchimp.com/d7ac35d590989fce96f6014e9/images/bed454f5-374e-46e6-a733-ff8ea4318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d7ac35d590989fce96f6014e9/images/bed454f5-374e-46e6-a733-ff8ea431817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581275"/>
                                      </a:xfrm>
                                      <a:prstGeom prst="rect">
                                        <a:avLst/>
                                      </a:prstGeom>
                                      <a:noFill/>
                                      <a:ln>
                                        <a:noFill/>
                                      </a:ln>
                                    </pic:spPr>
                                  </pic:pic>
                                </a:graphicData>
                              </a:graphic>
                            </wp:inline>
                          </w:drawing>
                        </w:r>
                      </w:p>
                    </w:tc>
                  </w:tr>
                </w:tbl>
                <w:p w:rsidR="00EA443F" w:rsidRPr="00EA443F" w:rsidRDefault="00EA443F" w:rsidP="00EA443F">
                  <w:pPr>
                    <w:spacing w:after="0" w:line="240" w:lineRule="auto"/>
                    <w:jc w:val="center"/>
                    <w:rPr>
                      <w:rFonts w:ascii="Times New Roman" w:eastAsia="Times New Roman" w:hAnsi="Times New Roman" w:cs="Times New Roman"/>
                      <w:sz w:val="24"/>
                      <w:szCs w:val="24"/>
                      <w:lang w:eastAsia="en-AU"/>
                    </w:rPr>
                  </w:pPr>
                </w:p>
              </w:tc>
            </w:tr>
            <w:tr w:rsidR="00EA443F" w:rsidRPr="00EA443F">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8995"/>
                  </w:tblGrid>
                  <w:tr w:rsidR="00EA443F" w:rsidRPr="00EA443F">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8995"/>
                        </w:tblGrid>
                        <w:tr w:rsidR="00EA443F" w:rsidRPr="00EA443F">
                          <w:tc>
                            <w:tcPr>
                              <w:tcW w:w="0" w:type="auto"/>
                              <w:hideMark/>
                            </w:tcPr>
                            <w:tbl>
                              <w:tblPr>
                                <w:tblW w:w="5000" w:type="pct"/>
                                <w:tblCellMar>
                                  <w:top w:w="300" w:type="dxa"/>
                                  <w:left w:w="300" w:type="dxa"/>
                                  <w:bottom w:w="300" w:type="dxa"/>
                                  <w:right w:w="300" w:type="dxa"/>
                                </w:tblCellMar>
                                <w:tblLook w:val="04A0" w:firstRow="1" w:lastRow="0" w:firstColumn="1" w:lastColumn="0" w:noHBand="0" w:noVBand="1"/>
                              </w:tblPr>
                              <w:tblGrid>
                                <w:gridCol w:w="8995"/>
                              </w:tblGrid>
                              <w:tr w:rsidR="00EA443F" w:rsidRPr="00EA443F">
                                <w:tc>
                                  <w:tcPr>
                                    <w:tcW w:w="0" w:type="auto"/>
                                    <w:hideMark/>
                                  </w:tcPr>
                                  <w:p w:rsidR="00EA443F" w:rsidRPr="00EA443F" w:rsidRDefault="00EA443F" w:rsidP="00EA443F">
                                    <w:pPr>
                                      <w:spacing w:after="150" w:line="510" w:lineRule="atLeast"/>
                                      <w:outlineLvl w:val="0"/>
                                      <w:rPr>
                                        <w:rFonts w:ascii="Arial" w:eastAsia="Times New Roman" w:hAnsi="Arial" w:cs="Arial"/>
                                        <w:color w:val="2A3994"/>
                                        <w:kern w:val="36"/>
                                        <w:sz w:val="51"/>
                                        <w:szCs w:val="51"/>
                                        <w:lang w:eastAsia="en-AU"/>
                                      </w:rPr>
                                    </w:pPr>
                                    <w:r w:rsidRPr="00EA443F">
                                      <w:rPr>
                                        <w:rFonts w:ascii="Arial" w:eastAsia="Times New Roman" w:hAnsi="Arial" w:cs="Arial"/>
                                        <w:color w:val="2A3994"/>
                                        <w:kern w:val="36"/>
                                        <w:sz w:val="51"/>
                                        <w:szCs w:val="51"/>
                                        <w:lang w:eastAsia="en-AU"/>
                                      </w:rPr>
                                      <w:t>November Newsletter </w:t>
                                    </w:r>
                                  </w:p>
                                  <w:p w:rsidR="00EA443F" w:rsidRPr="00EA443F" w:rsidRDefault="00EA443F" w:rsidP="00EA443F">
                                    <w:pPr>
                                      <w:spacing w:after="0" w:line="315" w:lineRule="atLeast"/>
                                      <w:jc w:val="center"/>
                                      <w:rPr>
                                        <w:rFonts w:ascii="Arial" w:eastAsia="Times New Roman" w:hAnsi="Arial" w:cs="Arial"/>
                                        <w:color w:val="414141"/>
                                        <w:sz w:val="21"/>
                                        <w:szCs w:val="21"/>
                                        <w:lang w:eastAsia="en-AU"/>
                                      </w:rPr>
                                    </w:pPr>
                                    <w:r>
                                      <w:rPr>
                                        <w:rFonts w:ascii="Arial" w:eastAsia="Times New Roman" w:hAnsi="Arial" w:cs="Arial"/>
                                        <w:noProof/>
                                        <w:color w:val="414141"/>
                                        <w:sz w:val="21"/>
                                        <w:szCs w:val="21"/>
                                        <w:lang w:eastAsia="en-AU"/>
                                      </w:rPr>
                                      <w:drawing>
                                        <wp:inline distT="0" distB="0" distL="0" distR="0">
                                          <wp:extent cx="5334000" cy="4000500"/>
                                          <wp:effectExtent l="0" t="0" r="0" b="0"/>
                                          <wp:docPr id="4" name="Picture 4" descr="https://gallery.mailchimp.com/d7ac35d590989fce96f6014e9/images/1a052785-379a-42c9-b86a-4355d209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7ac35d590989fce96f6014e9/images/1a052785-379a-42c9-b86a-4355d20913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r>
                                    <w:r w:rsidRPr="00EA443F">
                                      <w:rPr>
                                        <w:rFonts w:ascii="Arial" w:eastAsia="Times New Roman" w:hAnsi="Arial" w:cs="Arial"/>
                                        <w:b/>
                                        <w:bCs/>
                                        <w:i/>
                                        <w:iCs/>
                                        <w:color w:val="414141"/>
                                        <w:sz w:val="27"/>
                                        <w:szCs w:val="27"/>
                                        <w:u w:val="single"/>
                                        <w:lang w:eastAsia="en-AU"/>
                                      </w:rPr>
                                      <w:t>Purchaser's rights when buying off-the-plan contracts</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lastRenderedPageBreak/>
                                      <w:br/>
                                    </w:r>
                                    <w:r w:rsidRPr="00EA443F">
                                      <w:rPr>
                                        <w:rFonts w:ascii="Arial" w:eastAsia="Times New Roman" w:hAnsi="Arial" w:cs="Arial"/>
                                        <w:b/>
                                        <w:bCs/>
                                        <w:color w:val="414141"/>
                                        <w:sz w:val="21"/>
                                        <w:szCs w:val="21"/>
                                        <w:lang w:eastAsia="en-AU"/>
                                      </w:rPr>
                                      <w:t>Background</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Off-the-plan contracts often resemble telephone directories many inches thick which contain complex clauses and conditions often typed in fine print. It is important that, notwithstanding that complexity and fine print, all off-the-plan purchasers gain a reasonable understanding of their obligations and limited rights before they decide to enter into a binding contract.</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The purchaser’s solicitor’s role is </w:t>
                                    </w:r>
                                    <w:r w:rsidRPr="00EA443F">
                                      <w:rPr>
                                        <w:rFonts w:ascii="Arial" w:eastAsia="Times New Roman" w:hAnsi="Arial" w:cs="Arial"/>
                                        <w:i/>
                                        <w:iCs/>
                                        <w:color w:val="414141"/>
                                        <w:sz w:val="21"/>
                                        <w:szCs w:val="21"/>
                                        <w:lang w:eastAsia="en-AU"/>
                                      </w:rPr>
                                      <w:t>not</w:t>
                                    </w:r>
                                    <w:r w:rsidRPr="00EA443F">
                                      <w:rPr>
                                        <w:rFonts w:ascii="Arial" w:eastAsia="Times New Roman" w:hAnsi="Arial" w:cs="Arial"/>
                                        <w:color w:val="414141"/>
                                        <w:sz w:val="21"/>
                                        <w:szCs w:val="21"/>
                                        <w:lang w:eastAsia="en-AU"/>
                                      </w:rPr>
                                      <w:t> to advise about the commercial or financial advisability of the proposed purchase but, instead, to ensure that a purchaser makes </w:t>
                                    </w:r>
                                    <w:r w:rsidRPr="00EA443F">
                                      <w:rPr>
                                        <w:rFonts w:ascii="Arial" w:eastAsia="Times New Roman" w:hAnsi="Arial" w:cs="Arial"/>
                                        <w:i/>
                                        <w:iCs/>
                                        <w:color w:val="414141"/>
                                        <w:sz w:val="21"/>
                                        <w:szCs w:val="21"/>
                                        <w:lang w:eastAsia="en-AU"/>
                                      </w:rPr>
                                      <w:t>an informed decision</w:t>
                                    </w:r>
                                    <w:r w:rsidRPr="00EA443F">
                                      <w:rPr>
                                        <w:rFonts w:ascii="Arial" w:eastAsia="Times New Roman" w:hAnsi="Arial" w:cs="Arial"/>
                                        <w:color w:val="414141"/>
                                        <w:sz w:val="21"/>
                                        <w:szCs w:val="21"/>
                                        <w:lang w:eastAsia="en-AU"/>
                                      </w:rPr>
                                      <w:t>:</w:t>
                                    </w:r>
                                    <w:r w:rsidRPr="00EA443F">
                                      <w:rPr>
                                        <w:rFonts w:ascii="Arial" w:eastAsia="Times New Roman" w:hAnsi="Arial" w:cs="Arial"/>
                                        <w:color w:val="414141"/>
                                        <w:sz w:val="21"/>
                                        <w:szCs w:val="21"/>
                                        <w:lang w:eastAsia="en-AU"/>
                                      </w:rPr>
                                      <w:br/>
                                      <w:t> </w:t>
                                    </w:r>
                                  </w:p>
                                  <w:p w:rsidR="00EA443F" w:rsidRPr="00EA443F" w:rsidRDefault="00EA443F" w:rsidP="00EA443F">
                                    <w:pPr>
                                      <w:numPr>
                                        <w:ilvl w:val="0"/>
                                        <w:numId w:val="1"/>
                                      </w:numPr>
                                      <w:spacing w:before="100" w:beforeAutospacing="1" w:after="100" w:afterAutospacing="1"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about whether or not to proceed based upon a sound understanding of the legal consequences of entering into the proposed purchase contract; and</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2"/>
                                      </w:numPr>
                                      <w:spacing w:before="100" w:beforeAutospacing="1" w:after="100" w:afterAutospacing="1" w:line="315" w:lineRule="atLeast"/>
                                      <w:rPr>
                                        <w:rFonts w:ascii="Arial" w:eastAsia="Times New Roman" w:hAnsi="Arial" w:cs="Arial"/>
                                        <w:color w:val="414141"/>
                                        <w:sz w:val="21"/>
                                        <w:szCs w:val="21"/>
                                        <w:lang w:eastAsia="en-AU"/>
                                      </w:rPr>
                                    </w:pPr>
                                    <w:proofErr w:type="gramStart"/>
                                    <w:r w:rsidRPr="00EA443F">
                                      <w:rPr>
                                        <w:rFonts w:ascii="Arial" w:eastAsia="Times New Roman" w:hAnsi="Arial" w:cs="Arial"/>
                                        <w:color w:val="414141"/>
                                        <w:sz w:val="21"/>
                                        <w:szCs w:val="21"/>
                                        <w:lang w:eastAsia="en-AU"/>
                                      </w:rPr>
                                      <w:t>as</w:t>
                                    </w:r>
                                    <w:proofErr w:type="gramEnd"/>
                                    <w:r w:rsidRPr="00EA443F">
                                      <w:rPr>
                                        <w:rFonts w:ascii="Arial" w:eastAsia="Times New Roman" w:hAnsi="Arial" w:cs="Arial"/>
                                        <w:color w:val="414141"/>
                                        <w:sz w:val="21"/>
                                        <w:szCs w:val="21"/>
                                        <w:lang w:eastAsia="en-AU"/>
                                      </w:rPr>
                                      <w:t xml:space="preserve"> to the limited rights and options the purchaser has when something goes wrong.</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br/>
                                      <w:t>Sometimes, a purchaser’s solicitor requests amendments or variations to the detailed sale contract prepared by the vendor’s solicitor with a view to protecting the purchaser’s interests. Vendors of off-the-plan contracts, however, rarely agree to any such variations or amendments, and, in consequence, the purchaser is often presented with an ultimatum of </w:t>
                                    </w:r>
                                    <w:r w:rsidRPr="00EA443F">
                                      <w:rPr>
                                        <w:rFonts w:ascii="Arial" w:eastAsia="Times New Roman" w:hAnsi="Arial" w:cs="Arial"/>
                                        <w:i/>
                                        <w:iCs/>
                                        <w:color w:val="414141"/>
                                        <w:sz w:val="21"/>
                                        <w:szCs w:val="21"/>
                                        <w:lang w:eastAsia="en-AU"/>
                                      </w:rPr>
                                      <w:t>‘Take it or Leave it’.</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Accordingly, it is generally a matter for the purchaser to decide whether he or she is prepared to enter into a contract which provides flexibility and protections for the vendor and little by way of rights and options for the purchaser. It is not an enviable choice for a purchaser who has to weigh the possible benefits of an investment which may, although not necessarily, appreciate in value over time, against the many downsides associated with entering into a one-sided off-the-plan contract. </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Often the off-the-plan contracts generally provide minimal protections required by law for purchasers. Minimal rights which purchasers are granted, generally include </w:t>
                                    </w:r>
                                    <w:r w:rsidRPr="00EA443F">
                                      <w:rPr>
                                        <w:rFonts w:ascii="Arial" w:eastAsia="Times New Roman" w:hAnsi="Arial" w:cs="Arial"/>
                                        <w:i/>
                                        <w:iCs/>
                                        <w:color w:val="414141"/>
                                        <w:sz w:val="21"/>
                                        <w:szCs w:val="21"/>
                                        <w:lang w:eastAsia="en-AU"/>
                                      </w:rPr>
                                      <w:t>a right of rescission </w:t>
                                    </w:r>
                                    <w:r w:rsidRPr="00EA443F">
                                      <w:rPr>
                                        <w:rFonts w:ascii="Arial" w:eastAsia="Times New Roman" w:hAnsi="Arial" w:cs="Arial"/>
                                        <w:color w:val="414141"/>
                                        <w:sz w:val="21"/>
                                        <w:szCs w:val="21"/>
                                        <w:lang w:eastAsia="en-AU"/>
                                      </w:rPr>
                                      <w:t>(or the right to the refund of the deposit and to walk away) when any of the following events occur:</w:t>
                                    </w:r>
                                  </w:p>
                                  <w:p w:rsidR="00EA443F" w:rsidRPr="00EA443F" w:rsidRDefault="00EA443F" w:rsidP="00EA443F">
                                    <w:pPr>
                                      <w:numPr>
                                        <w:ilvl w:val="0"/>
                                        <w:numId w:val="3"/>
                                      </w:numPr>
                                      <w:spacing w:before="100" w:beforeAutospacing="1" w:after="100" w:afterAutospacing="1"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lastRenderedPageBreak/>
                                      <w:t>a Development Approval made by the vendor gets rejected by the local council;</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4"/>
                                      </w:numPr>
                                      <w:spacing w:before="100" w:beforeAutospacing="1" w:after="100" w:afterAutospacing="1"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the vendors present a replacement Strata Plan to the local council which, if accepted, would result in the purchaser receiving less than 95% of the area of the apartment originally promised by the vendors;</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5"/>
                                      </w:numPr>
                                      <w:spacing w:before="100" w:beforeAutospacing="1" w:after="100" w:afterAutospacing="1"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a Strata Plan is not registered by the “sunset date”;</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6"/>
                                      </w:numPr>
                                      <w:spacing w:before="100" w:beforeAutospacing="1" w:after="100" w:afterAutospacing="1" w:line="315" w:lineRule="atLeast"/>
                                      <w:rPr>
                                        <w:rFonts w:ascii="Arial" w:eastAsia="Times New Roman" w:hAnsi="Arial" w:cs="Arial"/>
                                        <w:color w:val="414141"/>
                                        <w:sz w:val="21"/>
                                        <w:szCs w:val="21"/>
                                        <w:lang w:eastAsia="en-AU"/>
                                      </w:rPr>
                                    </w:pPr>
                                    <w:proofErr w:type="gramStart"/>
                                    <w:r w:rsidRPr="00EA443F">
                                      <w:rPr>
                                        <w:rFonts w:ascii="Arial" w:eastAsia="Times New Roman" w:hAnsi="Arial" w:cs="Arial"/>
                                        <w:color w:val="414141"/>
                                        <w:sz w:val="21"/>
                                        <w:szCs w:val="21"/>
                                        <w:lang w:eastAsia="en-AU"/>
                                      </w:rPr>
                                      <w:t>an</w:t>
                                    </w:r>
                                    <w:proofErr w:type="gramEnd"/>
                                    <w:r w:rsidRPr="00EA443F">
                                      <w:rPr>
                                        <w:rFonts w:ascii="Arial" w:eastAsia="Times New Roman" w:hAnsi="Arial" w:cs="Arial"/>
                                        <w:color w:val="414141"/>
                                        <w:sz w:val="21"/>
                                        <w:szCs w:val="21"/>
                                        <w:lang w:eastAsia="en-AU"/>
                                      </w:rPr>
                                      <w:t xml:space="preserve"> unforeseeable event such as inclement weather, civil commotion or strikes occurs.</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br/>
                                      <w:t>Walking away from a contract is unlikely to be attractive option. Whilst a purchaser will be pleased to receive the return of their deposit, possibly, but not necessarily, with some accrued interest, having had that deposit tied up for, say, 2-3 years, may have resulted in the purchaser not purchasing another property and, thereby, suffering a potential financial loss.</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Purchasers should be aware that, whilst they have the right to walk away from the purchase if the strata plan is not registered by the “sunset date”, vendors in New South Wales and Queensland also have that right, which can give rise to unfortunate consequences and disappointment for the purchaser.</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 xml:space="preserve">Sue Williams writing in the Sydney Morning Herald on 7 September 2015 reported that buyers of seven apartments in a boutique Surry Hills </w:t>
                                    </w:r>
                                    <w:proofErr w:type="gramStart"/>
                                    <w:r w:rsidRPr="00EA443F">
                                      <w:rPr>
                                        <w:rFonts w:ascii="Arial" w:eastAsia="Times New Roman" w:hAnsi="Arial" w:cs="Arial"/>
                                        <w:color w:val="414141"/>
                                        <w:sz w:val="21"/>
                                        <w:szCs w:val="21"/>
                                        <w:lang w:eastAsia="en-AU"/>
                                      </w:rPr>
                                      <w:t>building</w:t>
                                    </w:r>
                                    <w:proofErr w:type="gramEnd"/>
                                    <w:r w:rsidRPr="00EA443F">
                                      <w:rPr>
                                        <w:rFonts w:ascii="Arial" w:eastAsia="Times New Roman" w:hAnsi="Arial" w:cs="Arial"/>
                                        <w:color w:val="414141"/>
                                        <w:sz w:val="21"/>
                                        <w:szCs w:val="21"/>
                                        <w:lang w:eastAsia="en-AU"/>
                                      </w:rPr>
                                      <w:t xml:space="preserve"> for which they had paid deposits 2-3 years previously, were no longer able to settle the purchase because the development was running late and the vendors exercised their right to rescind the contracts. Ms Williams referred to a 2 bedroom apartment that was originally bought for $915,000</w:t>
                                    </w:r>
                                    <w:proofErr w:type="gramStart"/>
                                    <w:r w:rsidRPr="00EA443F">
                                      <w:rPr>
                                        <w:rFonts w:ascii="Arial" w:eastAsia="Times New Roman" w:hAnsi="Arial" w:cs="Arial"/>
                                        <w:color w:val="414141"/>
                                        <w:sz w:val="21"/>
                                        <w:szCs w:val="21"/>
                                        <w:lang w:eastAsia="en-AU"/>
                                      </w:rPr>
                                      <w:t>  where</w:t>
                                    </w:r>
                                    <w:proofErr w:type="gramEnd"/>
                                    <w:r w:rsidRPr="00EA443F">
                                      <w:rPr>
                                        <w:rFonts w:ascii="Arial" w:eastAsia="Times New Roman" w:hAnsi="Arial" w:cs="Arial"/>
                                        <w:color w:val="414141"/>
                                        <w:sz w:val="21"/>
                                        <w:szCs w:val="21"/>
                                        <w:lang w:eastAsia="en-AU"/>
                                      </w:rPr>
                                      <w:t xml:space="preserve"> the developer rescinded the contract because the development was running late and the apartment was then back on the market for $1.39 million a short time after the vendor’s rescission.</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r>
                                    <w:r w:rsidRPr="00EA443F">
                                      <w:rPr>
                                        <w:rFonts w:ascii="Arial" w:eastAsia="Times New Roman" w:hAnsi="Arial" w:cs="Arial"/>
                                        <w:i/>
                                        <w:iCs/>
                                        <w:color w:val="414141"/>
                                        <w:sz w:val="21"/>
                                        <w:szCs w:val="21"/>
                                        <w:lang w:eastAsia="en-AU"/>
                                      </w:rPr>
                                      <w:t>What rights does a purchaser have when a replacement Strata Plan document reduces what the purchaser is to receive by more, or less, than 5%?</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 xml:space="preserve">Given the current rise in property values in the Sydney housing market over the last 3 </w:t>
                                    </w:r>
                                    <w:r w:rsidRPr="00EA443F">
                                      <w:rPr>
                                        <w:rFonts w:ascii="Arial" w:eastAsia="Times New Roman" w:hAnsi="Arial" w:cs="Arial"/>
                                        <w:color w:val="414141"/>
                                        <w:sz w:val="21"/>
                                        <w:szCs w:val="21"/>
                                        <w:lang w:eastAsia="en-AU"/>
                                      </w:rPr>
                                      <w:lastRenderedPageBreak/>
                                      <w:t>years, simply rescinding the purchase contract and walking away is rarely an attractive option to a purchaser when a vendor informs a purchaser that there is to be a significant reduction in the size of the apartment.</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It’s not an attractive option because Sydney real estate property prices have risen by 32% over the 3 past years.</w:t>
                                    </w:r>
                                    <w:bookmarkStart w:id="0" w:name="_ftnref1"/>
                                    <w:r w:rsidRPr="00EA443F">
                                      <w:rPr>
                                        <w:rFonts w:ascii="Arial" w:eastAsia="Times New Roman" w:hAnsi="Arial" w:cs="Arial"/>
                                        <w:color w:val="414141"/>
                                        <w:sz w:val="21"/>
                                        <w:szCs w:val="21"/>
                                        <w:lang w:eastAsia="en-AU"/>
                                      </w:rPr>
                                      <w:fldChar w:fldCharType="begin"/>
                                    </w:r>
                                    <w:r w:rsidRPr="00EA443F">
                                      <w:rPr>
                                        <w:rFonts w:ascii="Arial" w:eastAsia="Times New Roman" w:hAnsi="Arial" w:cs="Arial"/>
                                        <w:color w:val="414141"/>
                                        <w:sz w:val="21"/>
                                        <w:szCs w:val="21"/>
                                        <w:lang w:eastAsia="en-AU"/>
                                      </w:rPr>
                                      <w:instrText xml:space="preserve"> HYPERLINK "http://us4.campaign-archive2.com/?u=d7ac35d590989fce96f6014e9&amp;id=f339fbc25c" \l "_ftn1" \o "" </w:instrText>
                                    </w:r>
                                    <w:r w:rsidRPr="00EA443F">
                                      <w:rPr>
                                        <w:rFonts w:ascii="Arial" w:eastAsia="Times New Roman" w:hAnsi="Arial" w:cs="Arial"/>
                                        <w:color w:val="414141"/>
                                        <w:sz w:val="21"/>
                                        <w:szCs w:val="21"/>
                                        <w:lang w:eastAsia="en-AU"/>
                                      </w:rPr>
                                      <w:fldChar w:fldCharType="separate"/>
                                    </w:r>
                                    <w:r w:rsidRPr="00EA443F">
                                      <w:rPr>
                                        <w:rFonts w:ascii="Arial" w:eastAsia="Times New Roman" w:hAnsi="Arial" w:cs="Arial"/>
                                        <w:color w:val="2A3994"/>
                                        <w:sz w:val="21"/>
                                        <w:szCs w:val="21"/>
                                        <w:u w:val="single"/>
                                        <w:lang w:eastAsia="en-AU"/>
                                      </w:rPr>
                                      <w:t>[1]</w:t>
                                    </w:r>
                                    <w:r w:rsidRPr="00EA443F">
                                      <w:rPr>
                                        <w:rFonts w:ascii="Arial" w:eastAsia="Times New Roman" w:hAnsi="Arial" w:cs="Arial"/>
                                        <w:color w:val="414141"/>
                                        <w:sz w:val="21"/>
                                        <w:szCs w:val="21"/>
                                        <w:lang w:eastAsia="en-AU"/>
                                      </w:rPr>
                                      <w:fldChar w:fldCharType="end"/>
                                    </w:r>
                                    <w:r w:rsidRPr="00EA443F">
                                      <w:rPr>
                                        <w:rFonts w:ascii="Arial" w:eastAsia="Times New Roman" w:hAnsi="Arial" w:cs="Arial"/>
                                        <w:color w:val="414141"/>
                                        <w:sz w:val="21"/>
                                        <w:szCs w:val="21"/>
                                        <w:lang w:eastAsia="en-AU"/>
                                      </w:rPr>
                                      <w:t> Where prices are rising at such a significant rate, it often makes little sense for a purchaser to walk away from the purchase in the circumstances where the value even of a significantly smaller apartment is often higher than the original contract price and the price of comparative second-hand apartments.</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Can a purchaser attempt to compel vendors to comply with the terms of the original contract? What is a prospective purchaser to do in these circumstances? Sadly, notwithstanding requests by the purchasers’ solicitors for variations in, and amendments to off-the-plan contracts with a view to providing some protection for the purchaser, in practice the purchaser usually has no choice other than to decide whether to ‘</w:t>
                                    </w:r>
                                    <w:r w:rsidRPr="00EA443F">
                                      <w:rPr>
                                        <w:rFonts w:ascii="Arial" w:eastAsia="Times New Roman" w:hAnsi="Arial" w:cs="Arial"/>
                                        <w:i/>
                                        <w:iCs/>
                                        <w:color w:val="414141"/>
                                        <w:sz w:val="21"/>
                                        <w:szCs w:val="21"/>
                                        <w:lang w:eastAsia="en-AU"/>
                                      </w:rPr>
                                      <w:t>Take it or Leave it’</w:t>
                                    </w:r>
                                    <w:r w:rsidRPr="00EA443F">
                                      <w:rPr>
                                        <w:rFonts w:ascii="Arial" w:eastAsia="Times New Roman" w:hAnsi="Arial" w:cs="Arial"/>
                                        <w:color w:val="414141"/>
                                        <w:sz w:val="21"/>
                                        <w:szCs w:val="21"/>
                                        <w:lang w:eastAsia="en-AU"/>
                                      </w:rPr>
                                      <w:t> as generally when a purchasers’ solicitor requests an appropriate amendment to the draft contract, the response is invariably to the effect ‘No’ – “If you don’t like it – you know what you can do!”.</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In theory, a purchaser's solicitor should request that a clause be inserted into the off-the-plan contract to provide that, in the event that the size of the apartment is less than that originally agreed</w:t>
                                    </w:r>
                                    <w:proofErr w:type="gramStart"/>
                                    <w:r w:rsidRPr="00EA443F">
                                      <w:rPr>
                                        <w:rFonts w:ascii="Arial" w:eastAsia="Times New Roman" w:hAnsi="Arial" w:cs="Arial"/>
                                        <w:color w:val="414141"/>
                                        <w:sz w:val="21"/>
                                        <w:szCs w:val="21"/>
                                        <w:lang w:eastAsia="en-AU"/>
                                      </w:rPr>
                                      <w:t>,</w:t>
                                    </w:r>
                                    <w:proofErr w:type="gramEnd"/>
                                    <w:r w:rsidRPr="00EA443F">
                                      <w:rPr>
                                        <w:rFonts w:ascii="Arial" w:eastAsia="Times New Roman" w:hAnsi="Arial" w:cs="Arial"/>
                                        <w:color w:val="414141"/>
                                        <w:sz w:val="21"/>
                                        <w:szCs w:val="21"/>
                                        <w:lang w:eastAsia="en-AU"/>
                                      </w:rPr>
                                      <w:t xml:space="preserve"> there is a corresponding and proportionate reduction in the purchase price at settlement. However, given the likely response of the vendor, a purchaser should not be overly optimistic in this regard.  </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r>
                                    <w:r w:rsidRPr="00EA443F">
                                      <w:rPr>
                                        <w:rFonts w:ascii="Arial" w:eastAsia="Times New Roman" w:hAnsi="Arial" w:cs="Arial"/>
                                        <w:b/>
                                        <w:bCs/>
                                        <w:color w:val="414141"/>
                                        <w:sz w:val="21"/>
                                        <w:szCs w:val="21"/>
                                        <w:lang w:eastAsia="en-AU"/>
                                      </w:rPr>
                                      <w:t>Specific Performance</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A court will rarely make an order against a developer vendor for </w:t>
                                    </w:r>
                                    <w:r w:rsidRPr="00EA443F">
                                      <w:rPr>
                                        <w:rFonts w:ascii="Arial" w:eastAsia="Times New Roman" w:hAnsi="Arial" w:cs="Arial"/>
                                        <w:i/>
                                        <w:iCs/>
                                        <w:color w:val="414141"/>
                                        <w:sz w:val="21"/>
                                        <w:szCs w:val="21"/>
                                        <w:lang w:eastAsia="en-AU"/>
                                      </w:rPr>
                                      <w:t>“specific performance”</w:t>
                                    </w:r>
                                    <w:r w:rsidRPr="00EA443F">
                                      <w:rPr>
                                        <w:rFonts w:ascii="Arial" w:eastAsia="Times New Roman" w:hAnsi="Arial" w:cs="Arial"/>
                                        <w:color w:val="414141"/>
                                        <w:sz w:val="21"/>
                                        <w:szCs w:val="21"/>
                                        <w:lang w:eastAsia="en-AU"/>
                                      </w:rPr>
                                      <w:t> as, in many cases, courts conclude that an order for the contract to be </w:t>
                                    </w:r>
                                    <w:r w:rsidRPr="00EA443F">
                                      <w:rPr>
                                        <w:rFonts w:ascii="Arial" w:eastAsia="Times New Roman" w:hAnsi="Arial" w:cs="Arial"/>
                                        <w:i/>
                                        <w:iCs/>
                                        <w:color w:val="414141"/>
                                        <w:sz w:val="21"/>
                                        <w:szCs w:val="21"/>
                                        <w:lang w:eastAsia="en-AU"/>
                                      </w:rPr>
                                      <w:t>“specifically performed”</w:t>
                                    </w:r>
                                    <w:r w:rsidRPr="00EA443F">
                                      <w:rPr>
                                        <w:rFonts w:ascii="Arial" w:eastAsia="Times New Roman" w:hAnsi="Arial" w:cs="Arial"/>
                                        <w:color w:val="414141"/>
                                        <w:sz w:val="21"/>
                                        <w:szCs w:val="21"/>
                                        <w:lang w:eastAsia="en-AU"/>
                                      </w:rPr>
                                      <w:t> by the vendor cannot reasonably and/or practicably be enforced. In the event where a replacement Strata Plan contains significant discrepancies from the original draft Strata Plan, it is unlikely, on practical grounds, that a court will order the vendor to construct the building apartment in question in accordance with original draft Strata Plan as it is unlikely to be practicable to do so.</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r>
                                    <w:r w:rsidRPr="00EA443F">
                                      <w:rPr>
                                        <w:rFonts w:ascii="Arial" w:eastAsia="Times New Roman" w:hAnsi="Arial" w:cs="Arial"/>
                                        <w:b/>
                                        <w:bCs/>
                                        <w:color w:val="414141"/>
                                        <w:sz w:val="21"/>
                                        <w:szCs w:val="21"/>
                                        <w:lang w:eastAsia="en-AU"/>
                                      </w:rPr>
                                      <w:t>Other Remedies</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A claim for damages for </w:t>
                                    </w:r>
                                    <w:r w:rsidRPr="00EA443F">
                                      <w:rPr>
                                        <w:rFonts w:ascii="Arial" w:eastAsia="Times New Roman" w:hAnsi="Arial" w:cs="Arial"/>
                                        <w:i/>
                                        <w:iCs/>
                                        <w:color w:val="414141"/>
                                        <w:sz w:val="21"/>
                                        <w:szCs w:val="21"/>
                                        <w:lang w:eastAsia="en-AU"/>
                                      </w:rPr>
                                      <w:t>misleading and deceptive</w:t>
                                    </w:r>
                                    <w:r w:rsidRPr="00EA443F">
                                      <w:rPr>
                                        <w:rFonts w:ascii="Arial" w:eastAsia="Times New Roman" w:hAnsi="Arial" w:cs="Arial"/>
                                        <w:color w:val="414141"/>
                                        <w:sz w:val="21"/>
                                        <w:szCs w:val="21"/>
                                        <w:lang w:eastAsia="en-AU"/>
                                      </w:rPr>
                                      <w:t> conduct may be available to a purchaser and whoever is subsequently affected in relation to failure of the vendor to notify a purchaser of adverse changes to the size of purchaser’s property at the time the changes were made. Such a claim may be characterised as a claim of misleading and deceptive conduct </w:t>
                                    </w:r>
                                    <w:r w:rsidRPr="00EA443F">
                                      <w:rPr>
                                        <w:rFonts w:ascii="Arial" w:eastAsia="Times New Roman" w:hAnsi="Arial" w:cs="Arial"/>
                                        <w:i/>
                                        <w:iCs/>
                                        <w:color w:val="414141"/>
                                        <w:sz w:val="21"/>
                                        <w:szCs w:val="21"/>
                                        <w:lang w:eastAsia="en-AU"/>
                                      </w:rPr>
                                      <w:t>by silence</w:t>
                                    </w:r>
                                    <w:r w:rsidRPr="00EA443F">
                                      <w:rPr>
                                        <w:rFonts w:ascii="Arial" w:eastAsia="Times New Roman" w:hAnsi="Arial" w:cs="Arial"/>
                                        <w:color w:val="414141"/>
                                        <w:sz w:val="21"/>
                                        <w:szCs w:val="21"/>
                                        <w:lang w:eastAsia="en-AU"/>
                                      </w:rPr>
                                      <w:t>.</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lastRenderedPageBreak/>
                                      <w:br/>
                                      <w:t>The leading case on silence as misleading and deceptive conduct is in </w:t>
                                    </w:r>
                                    <w:r w:rsidRPr="00EA443F">
                                      <w:rPr>
                                        <w:rFonts w:ascii="Arial" w:eastAsia="Times New Roman" w:hAnsi="Arial" w:cs="Arial"/>
                                        <w:i/>
                                        <w:iCs/>
                                        <w:color w:val="414141"/>
                                        <w:sz w:val="21"/>
                                        <w:szCs w:val="21"/>
                                        <w:lang w:eastAsia="en-AU"/>
                                      </w:rPr>
                                      <w:t xml:space="preserve">Demagogue Pty Limited v </w:t>
                                    </w:r>
                                    <w:proofErr w:type="spellStart"/>
                                    <w:r w:rsidRPr="00EA443F">
                                      <w:rPr>
                                        <w:rFonts w:ascii="Arial" w:eastAsia="Times New Roman" w:hAnsi="Arial" w:cs="Arial"/>
                                        <w:i/>
                                        <w:iCs/>
                                        <w:color w:val="414141"/>
                                        <w:sz w:val="21"/>
                                        <w:szCs w:val="21"/>
                                        <w:lang w:eastAsia="en-AU"/>
                                      </w:rPr>
                                      <w:t>Ramensky</w:t>
                                    </w:r>
                                    <w:proofErr w:type="spellEnd"/>
                                    <w:r w:rsidRPr="00EA443F">
                                      <w:rPr>
                                        <w:rFonts w:ascii="Arial" w:eastAsia="Times New Roman" w:hAnsi="Arial" w:cs="Arial"/>
                                        <w:color w:val="414141"/>
                                        <w:sz w:val="21"/>
                                        <w:szCs w:val="21"/>
                                        <w:lang w:eastAsia="en-AU"/>
                                      </w:rPr>
                                      <w:t> [1992] FCA 557; (1992) 39 FCR 31, 32 where Black CJ said:</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w:t>
                                    </w:r>
                                    <w:r w:rsidRPr="00EA443F">
                                      <w:rPr>
                                        <w:rFonts w:ascii="Arial" w:eastAsia="Times New Roman" w:hAnsi="Arial" w:cs="Arial"/>
                                        <w:i/>
                                        <w:iCs/>
                                        <w:color w:val="414141"/>
                                        <w:sz w:val="21"/>
                                        <w:szCs w:val="21"/>
                                        <w:lang w:eastAsia="en-AU"/>
                                      </w:rPr>
                                      <w:t>Silence is to be assessed as a circumstance like any other. To say this is certainly not to impose any general duty of disclosure; the question is simply whether, having regard to all the relevant circumstances, there has been conduct that is misleading or deceptive … to speak of “mere silence” or a duty of disclosure can divert attention from that primary question. Although “mere silence” is a convenient way of describing some fact situations, there is in truth no such thing as “mere silence” because the significance of silence always falls to be considered in the context in which it occurs. That context may or may not include facts giving rise to a reasonable expectation, in the circumstances of the case, that if particular matters exist they will be disclosed</w:t>
                                    </w:r>
                                    <w:r w:rsidRPr="00EA443F">
                                      <w:rPr>
                                        <w:rFonts w:ascii="Arial" w:eastAsia="Times New Roman" w:hAnsi="Arial" w:cs="Arial"/>
                                        <w:color w:val="414141"/>
                                        <w:sz w:val="21"/>
                                        <w:szCs w:val="21"/>
                                        <w:lang w:eastAsia="en-AU"/>
                                      </w:rPr>
                                      <w:t>.’</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The Courts have been willing to imply a duty of good faith on a party to an off-the-plan agreement. Arguably, the conduct of a vendor in failing to notify a purchaser of their proposal to reduce the size of the apartment as soon as such a decision was made could constitute misleading and deceptive conduct by silence, particularly if the vendor delays significantly in informing the purchaser of the proposed reduction.</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r>
                                    <w:r w:rsidRPr="00EA443F">
                                      <w:rPr>
                                        <w:rFonts w:ascii="Arial" w:eastAsia="Times New Roman" w:hAnsi="Arial" w:cs="Arial"/>
                                        <w:b/>
                                        <w:bCs/>
                                        <w:color w:val="414141"/>
                                        <w:sz w:val="21"/>
                                        <w:szCs w:val="21"/>
                                        <w:lang w:eastAsia="en-AU"/>
                                      </w:rPr>
                                      <w:t>Australian Consumer Law</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The Australian Consumer Law may also provide consumers with a right of action against a trader where there is a failure to comply with a consumer guarantee, i.e. consumer goods or services must be of “acceptable quality”. However, the remedy will depend on whether the failure is considered major or minor and may allow a purchaser to recover any reasonable costs incurred in fixing a problem.</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r>
                                    <w:r w:rsidRPr="00EA443F">
                                      <w:rPr>
                                        <w:rFonts w:ascii="Arial" w:eastAsia="Times New Roman" w:hAnsi="Arial" w:cs="Arial"/>
                                        <w:b/>
                                        <w:bCs/>
                                        <w:color w:val="414141"/>
                                        <w:sz w:val="21"/>
                                        <w:szCs w:val="21"/>
                                        <w:lang w:eastAsia="en-AU"/>
                                      </w:rPr>
                                      <w:t>Conclusion </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It is important for off-the-plan purchasers to:</w:t>
                                    </w:r>
                                    <w:r w:rsidRPr="00EA443F">
                                      <w:rPr>
                                        <w:rFonts w:ascii="Arial" w:eastAsia="Times New Roman" w:hAnsi="Arial" w:cs="Arial"/>
                                        <w:color w:val="414141"/>
                                        <w:sz w:val="21"/>
                                        <w:szCs w:val="21"/>
                                        <w:lang w:eastAsia="en-AU"/>
                                      </w:rPr>
                                      <w:br/>
                                      <w:t> </w:t>
                                    </w:r>
                                  </w:p>
                                  <w:p w:rsidR="00EA443F" w:rsidRPr="00EA443F" w:rsidRDefault="00EA443F" w:rsidP="00EA443F">
                                    <w:pPr>
                                      <w:numPr>
                                        <w:ilvl w:val="0"/>
                                        <w:numId w:val="7"/>
                                      </w:numPr>
                                      <w:spacing w:before="100" w:beforeAutospacing="1" w:after="100" w:afterAutospacing="1"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obtain reliable legal advice to enable the purchaser to make an informed decision about what their many contractual obligations and limited rights are before deciding whether or not to proceed; and</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8"/>
                                      </w:numPr>
                                      <w:spacing w:before="100" w:beforeAutospacing="1" w:after="100" w:afterAutospacing="1" w:line="315" w:lineRule="atLeast"/>
                                      <w:rPr>
                                        <w:rFonts w:ascii="Arial" w:eastAsia="Times New Roman" w:hAnsi="Arial" w:cs="Arial"/>
                                        <w:color w:val="414141"/>
                                        <w:sz w:val="21"/>
                                        <w:szCs w:val="21"/>
                                        <w:lang w:eastAsia="en-AU"/>
                                      </w:rPr>
                                    </w:pPr>
                                    <w:proofErr w:type="gramStart"/>
                                    <w:r w:rsidRPr="00EA443F">
                                      <w:rPr>
                                        <w:rFonts w:ascii="Arial" w:eastAsia="Times New Roman" w:hAnsi="Arial" w:cs="Arial"/>
                                        <w:color w:val="414141"/>
                                        <w:sz w:val="21"/>
                                        <w:szCs w:val="21"/>
                                        <w:lang w:eastAsia="en-AU"/>
                                      </w:rPr>
                                      <w:t>instruct</w:t>
                                    </w:r>
                                    <w:proofErr w:type="gramEnd"/>
                                    <w:r w:rsidRPr="00EA443F">
                                      <w:rPr>
                                        <w:rFonts w:ascii="Arial" w:eastAsia="Times New Roman" w:hAnsi="Arial" w:cs="Arial"/>
                                        <w:color w:val="414141"/>
                                        <w:sz w:val="21"/>
                                        <w:szCs w:val="21"/>
                                        <w:lang w:eastAsia="en-AU"/>
                                      </w:rPr>
                                      <w:t xml:space="preserve"> their solicitors to at least attempt to make appropriate amendments to the one-sided contract with a view to creating an even playing field even if, as is likely, </w:t>
                                    </w:r>
                                    <w:r w:rsidRPr="00EA443F">
                                      <w:rPr>
                                        <w:rFonts w:ascii="Arial" w:eastAsia="Times New Roman" w:hAnsi="Arial" w:cs="Arial"/>
                                        <w:color w:val="414141"/>
                                        <w:sz w:val="21"/>
                                        <w:szCs w:val="21"/>
                                        <w:lang w:eastAsia="en-AU"/>
                                      </w:rPr>
                                      <w:lastRenderedPageBreak/>
                                      <w:t>such requests are met with a flat refusal.</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They should also:</w:t>
                                    </w:r>
                                    <w:r w:rsidRPr="00EA443F">
                                      <w:rPr>
                                        <w:rFonts w:ascii="Arial" w:eastAsia="Times New Roman" w:hAnsi="Arial" w:cs="Arial"/>
                                        <w:color w:val="414141"/>
                                        <w:sz w:val="21"/>
                                        <w:szCs w:val="21"/>
                                        <w:lang w:eastAsia="en-AU"/>
                                      </w:rPr>
                                      <w:br/>
                                      <w:t> </w:t>
                                    </w:r>
                                  </w:p>
                                  <w:p w:rsidR="00EA443F" w:rsidRPr="00EA443F" w:rsidRDefault="00EA443F" w:rsidP="00EA443F">
                                    <w:pPr>
                                      <w:numPr>
                                        <w:ilvl w:val="0"/>
                                        <w:numId w:val="9"/>
                                      </w:numPr>
                                      <w:spacing w:before="100" w:beforeAutospacing="1" w:after="100" w:afterAutospacing="1" w:line="315" w:lineRule="atLeast"/>
                                      <w:rPr>
                                        <w:rFonts w:ascii="Arial" w:eastAsia="Times New Roman" w:hAnsi="Arial" w:cs="Arial"/>
                                        <w:color w:val="414141"/>
                                        <w:sz w:val="21"/>
                                        <w:szCs w:val="21"/>
                                        <w:lang w:eastAsia="en-AU"/>
                                      </w:rPr>
                                    </w:pPr>
                                    <w:proofErr w:type="gramStart"/>
                                    <w:r w:rsidRPr="00EA443F">
                                      <w:rPr>
                                        <w:rFonts w:ascii="Arial" w:eastAsia="Times New Roman" w:hAnsi="Arial" w:cs="Arial"/>
                                        <w:color w:val="414141"/>
                                        <w:sz w:val="21"/>
                                        <w:szCs w:val="21"/>
                                        <w:lang w:eastAsia="en-AU"/>
                                      </w:rPr>
                                      <w:t>make</w:t>
                                    </w:r>
                                    <w:proofErr w:type="gramEnd"/>
                                    <w:r w:rsidRPr="00EA443F">
                                      <w:rPr>
                                        <w:rFonts w:ascii="Arial" w:eastAsia="Times New Roman" w:hAnsi="Arial" w:cs="Arial"/>
                                        <w:color w:val="414141"/>
                                        <w:sz w:val="21"/>
                                        <w:szCs w:val="21"/>
                                        <w:lang w:eastAsia="en-AU"/>
                                      </w:rPr>
                                      <w:t xml:space="preserve"> enquiries about the reputation, experience and bona fides of the vendor and its directors and shareholders. For example, have they been associated with a company that has gone into liquidation only to be replaced by a “phoenix company” arising from the ashes of the first company</w:t>
                                    </w:r>
                                    <w:proofErr w:type="gramStart"/>
                                    <w:r w:rsidRPr="00EA443F">
                                      <w:rPr>
                                        <w:rFonts w:ascii="Arial" w:eastAsia="Times New Roman" w:hAnsi="Arial" w:cs="Arial"/>
                                        <w:color w:val="414141"/>
                                        <w:sz w:val="21"/>
                                        <w:szCs w:val="21"/>
                                        <w:lang w:eastAsia="en-AU"/>
                                      </w:rPr>
                                      <w:t>?;</w:t>
                                    </w:r>
                                    <w:proofErr w:type="gramEnd"/>
                                    <w:r w:rsidRPr="00EA443F">
                                      <w:rPr>
                                        <w:rFonts w:ascii="Arial" w:eastAsia="Times New Roman" w:hAnsi="Arial" w:cs="Arial"/>
                                        <w:color w:val="414141"/>
                                        <w:sz w:val="21"/>
                                        <w:szCs w:val="21"/>
                                        <w:lang w:eastAsia="en-AU"/>
                                      </w:rPr>
                                      <w:t> </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10"/>
                                      </w:numPr>
                                      <w:spacing w:before="100" w:beforeAutospacing="1" w:after="100" w:afterAutospacing="1"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seek financial and commercial advice from their financial advisor, accountants and bankers about the commercial prudence of proceeding with the proposed purchase and the land tax, income tax and capital gain tax implications of proceeding with the purchase; and</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11"/>
                                      </w:numPr>
                                      <w:spacing w:before="100" w:beforeAutospacing="1" w:after="100" w:afterAutospacing="1" w:line="315" w:lineRule="atLeast"/>
                                      <w:rPr>
                                        <w:rFonts w:ascii="Arial" w:eastAsia="Times New Roman" w:hAnsi="Arial" w:cs="Arial"/>
                                        <w:color w:val="414141"/>
                                        <w:sz w:val="21"/>
                                        <w:szCs w:val="21"/>
                                        <w:lang w:eastAsia="en-AU"/>
                                      </w:rPr>
                                    </w:pPr>
                                    <w:proofErr w:type="gramStart"/>
                                    <w:r w:rsidRPr="00EA443F">
                                      <w:rPr>
                                        <w:rFonts w:ascii="Arial" w:eastAsia="Times New Roman" w:hAnsi="Arial" w:cs="Arial"/>
                                        <w:color w:val="414141"/>
                                        <w:sz w:val="21"/>
                                        <w:szCs w:val="21"/>
                                        <w:lang w:eastAsia="en-AU"/>
                                      </w:rPr>
                                      <w:t>seek</w:t>
                                    </w:r>
                                    <w:proofErr w:type="gramEnd"/>
                                    <w:r w:rsidRPr="00EA443F">
                                      <w:rPr>
                                        <w:rFonts w:ascii="Arial" w:eastAsia="Times New Roman" w:hAnsi="Arial" w:cs="Arial"/>
                                        <w:color w:val="414141"/>
                                        <w:sz w:val="21"/>
                                        <w:szCs w:val="21"/>
                                        <w:lang w:eastAsia="en-AU"/>
                                      </w:rPr>
                                      <w:t xml:space="preserve"> advice as to value from those qualified to provide it such as certified </w:t>
                                    </w:r>
                                    <w:proofErr w:type="spellStart"/>
                                    <w:r w:rsidRPr="00EA443F">
                                      <w:rPr>
                                        <w:rFonts w:ascii="Arial" w:eastAsia="Times New Roman" w:hAnsi="Arial" w:cs="Arial"/>
                                        <w:color w:val="414141"/>
                                        <w:sz w:val="21"/>
                                        <w:szCs w:val="21"/>
                                        <w:lang w:eastAsia="en-AU"/>
                                      </w:rPr>
                                      <w:t>valuers</w:t>
                                    </w:r>
                                    <w:proofErr w:type="spellEnd"/>
                                    <w:r w:rsidRPr="00EA443F">
                                      <w:rPr>
                                        <w:rFonts w:ascii="Arial" w:eastAsia="Times New Roman" w:hAnsi="Arial" w:cs="Arial"/>
                                        <w:color w:val="414141"/>
                                        <w:sz w:val="21"/>
                                        <w:szCs w:val="21"/>
                                        <w:lang w:eastAsia="en-AU"/>
                                      </w:rPr>
                                      <w:t xml:space="preserve"> and experienced real estate agents.</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spacing w:after="0" w:line="315" w:lineRule="atLeast"/>
                                      <w:jc w:val="righ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Minji Kim </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pict>
                                        <v:rect id="_x0000_i1025" style="width:148.95pt;height:.75pt" o:hrpct="330" o:hrstd="t" o:hr="t" fillcolor="#a0a0a0" stroked="f"/>
                                      </w:pict>
                                    </w:r>
                                  </w:p>
                                  <w:bookmarkStart w:id="1" w:name="_ftn1"/>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18"/>
                                        <w:szCs w:val="18"/>
                                        <w:lang w:eastAsia="en-AU"/>
                                      </w:rPr>
                                      <w:fldChar w:fldCharType="begin"/>
                                    </w:r>
                                    <w:r w:rsidRPr="00EA443F">
                                      <w:rPr>
                                        <w:rFonts w:ascii="Arial" w:eastAsia="Times New Roman" w:hAnsi="Arial" w:cs="Arial"/>
                                        <w:color w:val="414141"/>
                                        <w:sz w:val="18"/>
                                        <w:szCs w:val="18"/>
                                        <w:lang w:eastAsia="en-AU"/>
                                      </w:rPr>
                                      <w:instrText xml:space="preserve"> HYPERLINK "http://us4.campaign-archive2.com/?u=d7ac35d590989fce96f6014e9&amp;id=f339fbc25c" \l "_ftnref1" \o "" </w:instrText>
                                    </w:r>
                                    <w:r w:rsidRPr="00EA443F">
                                      <w:rPr>
                                        <w:rFonts w:ascii="Arial" w:eastAsia="Times New Roman" w:hAnsi="Arial" w:cs="Arial"/>
                                        <w:color w:val="414141"/>
                                        <w:sz w:val="18"/>
                                        <w:szCs w:val="18"/>
                                        <w:lang w:eastAsia="en-AU"/>
                                      </w:rPr>
                                      <w:fldChar w:fldCharType="separate"/>
                                    </w:r>
                                    <w:r w:rsidRPr="00EA443F">
                                      <w:rPr>
                                        <w:rFonts w:ascii="Arial" w:eastAsia="Times New Roman" w:hAnsi="Arial" w:cs="Arial"/>
                                        <w:color w:val="2A3994"/>
                                        <w:sz w:val="18"/>
                                        <w:szCs w:val="18"/>
                                        <w:u w:val="single"/>
                                        <w:lang w:eastAsia="en-AU"/>
                                      </w:rPr>
                                      <w:t>[1]</w:t>
                                    </w:r>
                                    <w:r w:rsidRPr="00EA443F">
                                      <w:rPr>
                                        <w:rFonts w:ascii="Arial" w:eastAsia="Times New Roman" w:hAnsi="Arial" w:cs="Arial"/>
                                        <w:color w:val="414141"/>
                                        <w:sz w:val="18"/>
                                        <w:szCs w:val="18"/>
                                        <w:lang w:eastAsia="en-AU"/>
                                      </w:rPr>
                                      <w:fldChar w:fldCharType="end"/>
                                    </w:r>
                                    <w:r w:rsidRPr="00EA443F">
                                      <w:rPr>
                                        <w:rFonts w:ascii="Arial" w:eastAsia="Times New Roman" w:hAnsi="Arial" w:cs="Arial"/>
                                        <w:color w:val="414141"/>
                                        <w:sz w:val="18"/>
                                        <w:szCs w:val="18"/>
                                        <w:lang w:eastAsia="en-AU"/>
                                      </w:rPr>
                                      <w:t> On average, approximately 10.8% per year from March 2012 to March 2015 based on the Australian Bureau of Statistics Residential Property Price Indexes, &lt;</w:t>
                                    </w:r>
                                    <w:hyperlink r:id="rId8" w:tgtFrame="_blank" w:history="1">
                                      <w:r w:rsidRPr="00EA443F">
                                        <w:rPr>
                                          <w:rFonts w:ascii="Arial" w:eastAsia="Times New Roman" w:hAnsi="Arial" w:cs="Arial"/>
                                          <w:color w:val="2A3994"/>
                                          <w:sz w:val="18"/>
                                          <w:szCs w:val="18"/>
                                          <w:u w:val="single"/>
                                          <w:lang w:eastAsia="en-AU"/>
                                        </w:rPr>
                                        <w:t>www.abs.gov.au/AUSSTATS/abs@.nsf/second+level+view?ReadForm&amp;prodno=6416.0&amp;viewtitle=Residential%20Property%20Price%20Indexes:</w:t>
                                      </w:r>
                                      <w:r w:rsidRPr="00EA443F">
                                        <w:rPr>
                                          <w:rFonts w:ascii="Arial" w:eastAsia="Times New Roman" w:hAnsi="Arial" w:cs="Arial"/>
                                          <w:color w:val="2A3994"/>
                                          <w:sz w:val="18"/>
                                          <w:szCs w:val="18"/>
                                          <w:u w:val="single"/>
                                          <w:lang w:eastAsia="en-AU"/>
                                        </w:rPr>
                                        <w:br/>
                                        <w:t>%20Eight%20Capital%20Cities~Mar%202015~Latest~23/06/2015&amp;&amp;tabname=Past%20</w:t>
                                      </w:r>
                                      <w:r w:rsidRPr="00EA443F">
                                        <w:rPr>
                                          <w:rFonts w:ascii="Arial" w:eastAsia="Times New Roman" w:hAnsi="Arial" w:cs="Arial"/>
                                          <w:color w:val="2A3994"/>
                                          <w:sz w:val="18"/>
                                          <w:szCs w:val="18"/>
                                          <w:u w:val="single"/>
                                          <w:lang w:eastAsia="en-AU"/>
                                        </w:rPr>
                                        <w:br/>
                                        <w:t>Future%20Issues&amp;prodno=6416.0&amp;issue=Mar%202015&amp;num=&amp;view=&amp;</w:t>
                                      </w:r>
                                    </w:hyperlink>
                                    <w:r w:rsidRPr="00EA443F">
                                      <w:rPr>
                                        <w:rFonts w:ascii="Arial" w:eastAsia="Times New Roman" w:hAnsi="Arial" w:cs="Arial"/>
                                        <w:color w:val="414141"/>
                                        <w:sz w:val="18"/>
                                        <w:szCs w:val="18"/>
                                        <w:lang w:eastAsia="en-AU"/>
                                      </w:rPr>
                                      <w:t>&gt;.</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                    </w:t>
                                    </w:r>
                                    <w:r>
                                      <w:rPr>
                                        <w:rFonts w:ascii="Arial" w:eastAsia="Times New Roman" w:hAnsi="Arial" w:cs="Arial"/>
                                        <w:noProof/>
                                        <w:color w:val="414141"/>
                                        <w:sz w:val="21"/>
                                        <w:szCs w:val="21"/>
                                        <w:lang w:eastAsia="en-AU"/>
                                      </w:rPr>
                                      <w:lastRenderedPageBreak/>
                                      <w:drawing>
                                        <wp:inline distT="0" distB="0" distL="0" distR="0">
                                          <wp:extent cx="5715000" cy="3600450"/>
                                          <wp:effectExtent l="0" t="0" r="0" b="0"/>
                                          <wp:docPr id="3" name="Picture 3" descr="https://gallery.mailchimp.com/d7ac35d590989fce96f6014e9/images/a860ff05-1370-412e-9f01-7b1fbdb5a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d7ac35d590989fce96f6014e9/images/a860ff05-1370-412e-9f01-7b1fbdb5a7e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inline>
                                      </w:drawing>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 </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r>
                                    <w:r w:rsidRPr="00EA443F">
                                      <w:rPr>
                                        <w:rFonts w:ascii="Arial" w:eastAsia="Times New Roman" w:hAnsi="Arial" w:cs="Arial"/>
                                        <w:b/>
                                        <w:bCs/>
                                        <w:i/>
                                        <w:iCs/>
                                        <w:color w:val="414141"/>
                                        <w:sz w:val="24"/>
                                        <w:szCs w:val="24"/>
                                        <w:u w:val="single"/>
                                        <w:lang w:eastAsia="en-AU"/>
                                      </w:rPr>
                                      <w:t>“Of little to no consequence: ‘consequential loss’ and similar exclusions of liability in Australian contracts”</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Frequently, a party to a contract will want to limit their liability for breaches of the contract to losses which are a direct consequence of that breach.  In this context, you may see a term in the contract which excludes liability for ‘</w:t>
                                    </w:r>
                                    <w:r w:rsidRPr="00EA443F">
                                      <w:rPr>
                                        <w:rFonts w:ascii="Arial" w:eastAsia="Times New Roman" w:hAnsi="Arial" w:cs="Arial"/>
                                        <w:i/>
                                        <w:iCs/>
                                        <w:color w:val="414141"/>
                                        <w:sz w:val="21"/>
                                        <w:szCs w:val="21"/>
                                        <w:lang w:eastAsia="en-AU"/>
                                      </w:rPr>
                                      <w:t>consequential</w:t>
                                    </w:r>
                                    <w:r w:rsidRPr="00EA443F">
                                      <w:rPr>
                                        <w:rFonts w:ascii="Arial" w:eastAsia="Times New Roman" w:hAnsi="Arial" w:cs="Arial"/>
                                        <w:color w:val="414141"/>
                                        <w:sz w:val="21"/>
                                        <w:szCs w:val="21"/>
                                        <w:lang w:eastAsia="en-AU"/>
                                      </w:rPr>
                                      <w:t>’ or ‘</w:t>
                                    </w:r>
                                    <w:r w:rsidRPr="00EA443F">
                                      <w:rPr>
                                        <w:rFonts w:ascii="Arial" w:eastAsia="Times New Roman" w:hAnsi="Arial" w:cs="Arial"/>
                                        <w:i/>
                                        <w:iCs/>
                                        <w:color w:val="414141"/>
                                        <w:sz w:val="21"/>
                                        <w:szCs w:val="21"/>
                                        <w:lang w:eastAsia="en-AU"/>
                                      </w:rPr>
                                      <w:t>indirect</w:t>
                                    </w:r>
                                    <w:r w:rsidRPr="00EA443F">
                                      <w:rPr>
                                        <w:rFonts w:ascii="Arial" w:eastAsia="Times New Roman" w:hAnsi="Arial" w:cs="Arial"/>
                                        <w:color w:val="414141"/>
                                        <w:sz w:val="21"/>
                                        <w:szCs w:val="21"/>
                                        <w:lang w:eastAsia="en-AU"/>
                                      </w:rPr>
                                      <w:t>’ loss resulting from a breach of the contract. Parties may want to limit their liability for consequences of their failures which they could not foresee.</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It is usually not enough, however, to simply state broadly in the contract that liability for ‘</w:t>
                                    </w:r>
                                    <w:r w:rsidRPr="00EA443F">
                                      <w:rPr>
                                        <w:rFonts w:ascii="Arial" w:eastAsia="Times New Roman" w:hAnsi="Arial" w:cs="Arial"/>
                                        <w:i/>
                                        <w:iCs/>
                                        <w:color w:val="414141"/>
                                        <w:sz w:val="21"/>
                                        <w:szCs w:val="21"/>
                                        <w:lang w:eastAsia="en-AU"/>
                                      </w:rPr>
                                      <w:t>consequential loss</w:t>
                                    </w:r>
                                    <w:r w:rsidRPr="00EA443F">
                                      <w:rPr>
                                        <w:rFonts w:ascii="Arial" w:eastAsia="Times New Roman" w:hAnsi="Arial" w:cs="Arial"/>
                                        <w:color w:val="414141"/>
                                        <w:sz w:val="21"/>
                                        <w:szCs w:val="21"/>
                                        <w:lang w:eastAsia="en-AU"/>
                                      </w:rPr>
                                      <w:t>’ is excluded. This article will briefly examine how Australian courts have approached terms such as consequential loss, and the implications of this approach for drafting commercial contracts.</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r>
                                    <w:r w:rsidRPr="00EA443F">
                                      <w:rPr>
                                        <w:rFonts w:ascii="Arial" w:eastAsia="Times New Roman" w:hAnsi="Arial" w:cs="Arial"/>
                                        <w:b/>
                                        <w:bCs/>
                                        <w:color w:val="414141"/>
                                        <w:sz w:val="21"/>
                                        <w:szCs w:val="21"/>
                                        <w:lang w:eastAsia="en-AU"/>
                                      </w:rPr>
                                      <w:t>What does “consequential loss” mean?</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The case of </w:t>
                                    </w:r>
                                    <w:r w:rsidRPr="00EA443F">
                                      <w:rPr>
                                        <w:rFonts w:ascii="Arial" w:eastAsia="Times New Roman" w:hAnsi="Arial" w:cs="Arial"/>
                                        <w:i/>
                                        <w:iCs/>
                                        <w:color w:val="414141"/>
                                        <w:sz w:val="21"/>
                                        <w:szCs w:val="21"/>
                                        <w:lang w:eastAsia="en-AU"/>
                                      </w:rPr>
                                      <w:t xml:space="preserve">Environmental Systems Pty Ltd v Peerless Holdings Pty </w:t>
                                    </w:r>
                                    <w:proofErr w:type="gramStart"/>
                                    <w:r w:rsidRPr="00EA443F">
                                      <w:rPr>
                                        <w:rFonts w:ascii="Arial" w:eastAsia="Times New Roman" w:hAnsi="Arial" w:cs="Arial"/>
                                        <w:i/>
                                        <w:iCs/>
                                        <w:color w:val="414141"/>
                                        <w:sz w:val="21"/>
                                        <w:szCs w:val="21"/>
                                        <w:lang w:eastAsia="en-AU"/>
                                      </w:rPr>
                                      <w:t>Ltd</w:t>
                                    </w:r>
                                    <w:proofErr w:type="gramEnd"/>
                                    <w:r w:rsidRPr="00EA443F">
                                      <w:rPr>
                                        <w:rFonts w:ascii="Arial" w:eastAsia="Times New Roman" w:hAnsi="Arial" w:cs="Arial"/>
                                        <w:i/>
                                        <w:iCs/>
                                        <w:color w:val="414141"/>
                                        <w:sz w:val="21"/>
                                        <w:szCs w:val="21"/>
                                        <w:lang w:eastAsia="en-AU"/>
                                      </w:rPr>
                                      <w:fldChar w:fldCharType="begin"/>
                                    </w:r>
                                    <w:r w:rsidRPr="00EA443F">
                                      <w:rPr>
                                        <w:rFonts w:ascii="Arial" w:eastAsia="Times New Roman" w:hAnsi="Arial" w:cs="Arial"/>
                                        <w:i/>
                                        <w:iCs/>
                                        <w:color w:val="414141"/>
                                        <w:sz w:val="21"/>
                                        <w:szCs w:val="21"/>
                                        <w:lang w:eastAsia="en-AU"/>
                                      </w:rPr>
                                      <w:instrText xml:space="preserve"> HYPERLINK "http://us4.campaign-archive2.com/?u=d7ac35d590989fce96f6014e9&amp;id=f339fbc25c" \l "_ftn1" \o "" </w:instrText>
                                    </w:r>
                                    <w:r w:rsidRPr="00EA443F">
                                      <w:rPr>
                                        <w:rFonts w:ascii="Arial" w:eastAsia="Times New Roman" w:hAnsi="Arial" w:cs="Arial"/>
                                        <w:i/>
                                        <w:iCs/>
                                        <w:color w:val="414141"/>
                                        <w:sz w:val="21"/>
                                        <w:szCs w:val="21"/>
                                        <w:lang w:eastAsia="en-AU"/>
                                      </w:rPr>
                                      <w:fldChar w:fldCharType="separate"/>
                                    </w:r>
                                    <w:r w:rsidRPr="00EA443F">
                                      <w:rPr>
                                        <w:rFonts w:ascii="Arial" w:eastAsia="Times New Roman" w:hAnsi="Arial" w:cs="Arial"/>
                                        <w:b/>
                                        <w:bCs/>
                                        <w:i/>
                                        <w:iCs/>
                                        <w:color w:val="2A3994"/>
                                        <w:sz w:val="21"/>
                                        <w:szCs w:val="21"/>
                                        <w:u w:val="single"/>
                                        <w:lang w:eastAsia="en-AU"/>
                                      </w:rPr>
                                      <w:t>[1]</w:t>
                                    </w:r>
                                    <w:r w:rsidRPr="00EA443F">
                                      <w:rPr>
                                        <w:rFonts w:ascii="Arial" w:eastAsia="Times New Roman" w:hAnsi="Arial" w:cs="Arial"/>
                                        <w:i/>
                                        <w:iCs/>
                                        <w:color w:val="414141"/>
                                        <w:sz w:val="21"/>
                                        <w:szCs w:val="21"/>
                                        <w:lang w:eastAsia="en-AU"/>
                                      </w:rPr>
                                      <w:fldChar w:fldCharType="end"/>
                                    </w:r>
                                    <w:bookmarkEnd w:id="0"/>
                                    <w:r w:rsidRPr="00EA443F">
                                      <w:rPr>
                                        <w:rFonts w:ascii="Arial" w:eastAsia="Times New Roman" w:hAnsi="Arial" w:cs="Arial"/>
                                        <w:color w:val="414141"/>
                                        <w:sz w:val="21"/>
                                        <w:szCs w:val="21"/>
                                        <w:lang w:eastAsia="en-AU"/>
                                      </w:rPr>
                                      <w:t> dealt with a contract that purported to exclude one party’s liability for ‘consequential loss’.</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lastRenderedPageBreak/>
                                      <w:t>In </w:t>
                                    </w:r>
                                    <w:r w:rsidRPr="00EA443F">
                                      <w:rPr>
                                        <w:rFonts w:ascii="Arial" w:eastAsia="Times New Roman" w:hAnsi="Arial" w:cs="Arial"/>
                                        <w:i/>
                                        <w:iCs/>
                                        <w:color w:val="414141"/>
                                        <w:sz w:val="21"/>
                                        <w:szCs w:val="21"/>
                                        <w:lang w:eastAsia="en-AU"/>
                                      </w:rPr>
                                      <w:t>Peerless</w:t>
                                    </w:r>
                                    <w:r w:rsidRPr="00EA443F">
                                      <w:rPr>
                                        <w:rFonts w:ascii="Arial" w:eastAsia="Times New Roman" w:hAnsi="Arial" w:cs="Arial"/>
                                        <w:color w:val="414141"/>
                                        <w:sz w:val="21"/>
                                        <w:szCs w:val="21"/>
                                        <w:lang w:eastAsia="en-AU"/>
                                      </w:rPr>
                                      <w:t>, Environmental Systems Pty Ltd included one term in the contract that its liability was limited solely to workmanship and materials, and another term stating that it did not accept liability for ‘consequential loss’.</w:t>
                                    </w:r>
                                    <w:bookmarkStart w:id="2" w:name="_ftnref2"/>
                                    <w:r w:rsidRPr="00EA443F">
                                      <w:rPr>
                                        <w:rFonts w:ascii="Arial" w:eastAsia="Times New Roman" w:hAnsi="Arial" w:cs="Arial"/>
                                        <w:color w:val="414141"/>
                                        <w:sz w:val="21"/>
                                        <w:szCs w:val="21"/>
                                        <w:lang w:eastAsia="en-AU"/>
                                      </w:rPr>
                                      <w:fldChar w:fldCharType="begin"/>
                                    </w:r>
                                    <w:r w:rsidRPr="00EA443F">
                                      <w:rPr>
                                        <w:rFonts w:ascii="Arial" w:eastAsia="Times New Roman" w:hAnsi="Arial" w:cs="Arial"/>
                                        <w:color w:val="414141"/>
                                        <w:sz w:val="21"/>
                                        <w:szCs w:val="21"/>
                                        <w:lang w:eastAsia="en-AU"/>
                                      </w:rPr>
                                      <w:instrText xml:space="preserve"> HYPERLINK "http://us4.campaign-archive2.com/?u=d7ac35d590989fce96f6014e9&amp;id=f339fbc25c" \l "_ftn2" \o "" </w:instrText>
                                    </w:r>
                                    <w:r w:rsidRPr="00EA443F">
                                      <w:rPr>
                                        <w:rFonts w:ascii="Arial" w:eastAsia="Times New Roman" w:hAnsi="Arial" w:cs="Arial"/>
                                        <w:color w:val="414141"/>
                                        <w:sz w:val="21"/>
                                        <w:szCs w:val="21"/>
                                        <w:lang w:eastAsia="en-AU"/>
                                      </w:rPr>
                                      <w:fldChar w:fldCharType="separate"/>
                                    </w:r>
                                    <w:r w:rsidRPr="00EA443F">
                                      <w:rPr>
                                        <w:rFonts w:ascii="Arial" w:eastAsia="Times New Roman" w:hAnsi="Arial" w:cs="Arial"/>
                                        <w:color w:val="2A3994"/>
                                        <w:sz w:val="21"/>
                                        <w:szCs w:val="21"/>
                                        <w:u w:val="single"/>
                                        <w:lang w:eastAsia="en-AU"/>
                                      </w:rPr>
                                      <w:t>[2]</w:t>
                                    </w:r>
                                    <w:r w:rsidRPr="00EA443F">
                                      <w:rPr>
                                        <w:rFonts w:ascii="Arial" w:eastAsia="Times New Roman" w:hAnsi="Arial" w:cs="Arial"/>
                                        <w:color w:val="414141"/>
                                        <w:sz w:val="21"/>
                                        <w:szCs w:val="21"/>
                                        <w:lang w:eastAsia="en-AU"/>
                                      </w:rPr>
                                      <w:fldChar w:fldCharType="end"/>
                                    </w:r>
                                    <w:bookmarkEnd w:id="2"/>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Justice of Appeal Nettle stated that in interpreting what was included in the term ‘consequential loss’,  the starting point was the “natural and ordinary meaning” of the term, as an ordinary businessperson would understand it .</w:t>
                                    </w:r>
                                    <w:bookmarkStart w:id="3" w:name="_ftnref3"/>
                                    <w:r w:rsidRPr="00EA443F">
                                      <w:rPr>
                                        <w:rFonts w:ascii="Arial" w:eastAsia="Times New Roman" w:hAnsi="Arial" w:cs="Arial"/>
                                        <w:color w:val="414141"/>
                                        <w:sz w:val="21"/>
                                        <w:szCs w:val="21"/>
                                        <w:lang w:eastAsia="en-AU"/>
                                      </w:rPr>
                                      <w:fldChar w:fldCharType="begin"/>
                                    </w:r>
                                    <w:r w:rsidRPr="00EA443F">
                                      <w:rPr>
                                        <w:rFonts w:ascii="Arial" w:eastAsia="Times New Roman" w:hAnsi="Arial" w:cs="Arial"/>
                                        <w:color w:val="414141"/>
                                        <w:sz w:val="21"/>
                                        <w:szCs w:val="21"/>
                                        <w:lang w:eastAsia="en-AU"/>
                                      </w:rPr>
                                      <w:instrText xml:space="preserve"> HYPERLINK "http://us4.campaign-archive2.com/?u=d7ac35d590989fce96f6014e9&amp;id=f339fbc25c" \l "_ftn3" \o "" </w:instrText>
                                    </w:r>
                                    <w:r w:rsidRPr="00EA443F">
                                      <w:rPr>
                                        <w:rFonts w:ascii="Arial" w:eastAsia="Times New Roman" w:hAnsi="Arial" w:cs="Arial"/>
                                        <w:color w:val="414141"/>
                                        <w:sz w:val="21"/>
                                        <w:szCs w:val="21"/>
                                        <w:lang w:eastAsia="en-AU"/>
                                      </w:rPr>
                                      <w:fldChar w:fldCharType="separate"/>
                                    </w:r>
                                    <w:r w:rsidRPr="00EA443F">
                                      <w:rPr>
                                        <w:rFonts w:ascii="Arial" w:eastAsia="Times New Roman" w:hAnsi="Arial" w:cs="Arial"/>
                                        <w:color w:val="2A3994"/>
                                        <w:sz w:val="21"/>
                                        <w:szCs w:val="21"/>
                                        <w:u w:val="single"/>
                                        <w:lang w:eastAsia="en-AU"/>
                                      </w:rPr>
                                      <w:t>[3]</w:t>
                                    </w:r>
                                    <w:r w:rsidRPr="00EA443F">
                                      <w:rPr>
                                        <w:rFonts w:ascii="Arial" w:eastAsia="Times New Roman" w:hAnsi="Arial" w:cs="Arial"/>
                                        <w:color w:val="414141"/>
                                        <w:sz w:val="21"/>
                                        <w:szCs w:val="21"/>
                                        <w:lang w:eastAsia="en-AU"/>
                                      </w:rPr>
                                      <w:fldChar w:fldCharType="end"/>
                                    </w:r>
                                    <w:bookmarkEnd w:id="3"/>
                                    <w:r w:rsidRPr="00EA443F">
                                      <w:rPr>
                                        <w:rFonts w:ascii="Arial" w:eastAsia="Times New Roman" w:hAnsi="Arial" w:cs="Arial"/>
                                        <w:color w:val="414141"/>
                                        <w:sz w:val="21"/>
                                        <w:szCs w:val="21"/>
                                        <w:lang w:eastAsia="en-AU"/>
                                      </w:rPr>
                                      <w:t xml:space="preserve"> Justice of Appeal Nettle further said that an ordinary businessperson would view ‘consequential </w:t>
                                    </w:r>
                                    <w:proofErr w:type="gramStart"/>
                                    <w:r w:rsidRPr="00EA443F">
                                      <w:rPr>
                                        <w:rFonts w:ascii="Arial" w:eastAsia="Times New Roman" w:hAnsi="Arial" w:cs="Arial"/>
                                        <w:color w:val="414141"/>
                                        <w:sz w:val="21"/>
                                        <w:szCs w:val="21"/>
                                        <w:lang w:eastAsia="en-AU"/>
                                      </w:rPr>
                                      <w:t>loss’</w:t>
                                    </w:r>
                                    <w:proofErr w:type="gramEnd"/>
                                    <w:r w:rsidRPr="00EA443F">
                                      <w:rPr>
                                        <w:rFonts w:ascii="Arial" w:eastAsia="Times New Roman" w:hAnsi="Arial" w:cs="Arial"/>
                                        <w:color w:val="414141"/>
                                        <w:sz w:val="21"/>
                                        <w:szCs w:val="21"/>
                                        <w:lang w:eastAsia="en-AU"/>
                                      </w:rPr>
                                      <w:t xml:space="preserve"> as being anything beyond ordinary damages for breach of the contract, and would include losses such as loss of profits or any other expenses incurred in response to the breach.</w:t>
                                    </w:r>
                                    <w:bookmarkStart w:id="4" w:name="_ftnref4"/>
                                    <w:r w:rsidRPr="00EA443F">
                                      <w:rPr>
                                        <w:rFonts w:ascii="Arial" w:eastAsia="Times New Roman" w:hAnsi="Arial" w:cs="Arial"/>
                                        <w:color w:val="414141"/>
                                        <w:sz w:val="21"/>
                                        <w:szCs w:val="21"/>
                                        <w:lang w:eastAsia="en-AU"/>
                                      </w:rPr>
                                      <w:fldChar w:fldCharType="begin"/>
                                    </w:r>
                                    <w:r w:rsidRPr="00EA443F">
                                      <w:rPr>
                                        <w:rFonts w:ascii="Arial" w:eastAsia="Times New Roman" w:hAnsi="Arial" w:cs="Arial"/>
                                        <w:color w:val="414141"/>
                                        <w:sz w:val="21"/>
                                        <w:szCs w:val="21"/>
                                        <w:lang w:eastAsia="en-AU"/>
                                      </w:rPr>
                                      <w:instrText xml:space="preserve"> HYPERLINK "http://us4.campaign-archive2.com/?u=d7ac35d590989fce96f6014e9&amp;id=f339fbc25c" \l "_ftn4" \o "" </w:instrText>
                                    </w:r>
                                    <w:r w:rsidRPr="00EA443F">
                                      <w:rPr>
                                        <w:rFonts w:ascii="Arial" w:eastAsia="Times New Roman" w:hAnsi="Arial" w:cs="Arial"/>
                                        <w:color w:val="414141"/>
                                        <w:sz w:val="21"/>
                                        <w:szCs w:val="21"/>
                                        <w:lang w:eastAsia="en-AU"/>
                                      </w:rPr>
                                      <w:fldChar w:fldCharType="separate"/>
                                    </w:r>
                                    <w:r w:rsidRPr="00EA443F">
                                      <w:rPr>
                                        <w:rFonts w:ascii="Arial" w:eastAsia="Times New Roman" w:hAnsi="Arial" w:cs="Arial"/>
                                        <w:color w:val="2A3994"/>
                                        <w:sz w:val="21"/>
                                        <w:szCs w:val="21"/>
                                        <w:u w:val="single"/>
                                        <w:lang w:eastAsia="en-AU"/>
                                      </w:rPr>
                                      <w:t>[4]</w:t>
                                    </w:r>
                                    <w:r w:rsidRPr="00EA443F">
                                      <w:rPr>
                                        <w:rFonts w:ascii="Arial" w:eastAsia="Times New Roman" w:hAnsi="Arial" w:cs="Arial"/>
                                        <w:color w:val="414141"/>
                                        <w:sz w:val="21"/>
                                        <w:szCs w:val="21"/>
                                        <w:lang w:eastAsia="en-AU"/>
                                      </w:rPr>
                                      <w:fldChar w:fldCharType="end"/>
                                    </w:r>
                                    <w:bookmarkEnd w:id="4"/>
                                    <w:r w:rsidRPr="00EA443F">
                                      <w:rPr>
                                        <w:rFonts w:ascii="Arial" w:eastAsia="Times New Roman" w:hAnsi="Arial" w:cs="Arial"/>
                                        <w:color w:val="414141"/>
                                        <w:sz w:val="21"/>
                                        <w:szCs w:val="21"/>
                                        <w:lang w:eastAsia="en-AU"/>
                                      </w:rPr>
                                      <w:t> As a result, Environmental Systems Pty Ltd were liable to Peerless Holdings Pty Ltd for supplying faulty equipment, but not for the extra labour costs incurred by Peerless Holdings Pty Ltd in attempting to make the equipment function as desired.</w:t>
                                    </w:r>
                                    <w:bookmarkStart w:id="5" w:name="_ftnref5"/>
                                    <w:r w:rsidRPr="00EA443F">
                                      <w:rPr>
                                        <w:rFonts w:ascii="Arial" w:eastAsia="Times New Roman" w:hAnsi="Arial" w:cs="Arial"/>
                                        <w:color w:val="414141"/>
                                        <w:sz w:val="21"/>
                                        <w:szCs w:val="21"/>
                                        <w:lang w:eastAsia="en-AU"/>
                                      </w:rPr>
                                      <w:fldChar w:fldCharType="begin"/>
                                    </w:r>
                                    <w:r w:rsidRPr="00EA443F">
                                      <w:rPr>
                                        <w:rFonts w:ascii="Arial" w:eastAsia="Times New Roman" w:hAnsi="Arial" w:cs="Arial"/>
                                        <w:color w:val="414141"/>
                                        <w:sz w:val="21"/>
                                        <w:szCs w:val="21"/>
                                        <w:lang w:eastAsia="en-AU"/>
                                      </w:rPr>
                                      <w:instrText xml:space="preserve"> HYPERLINK "http://us4.campaign-archive2.com/?u=d7ac35d590989fce96f6014e9&amp;id=f339fbc25c" \l "_ftn5" \o "" </w:instrText>
                                    </w:r>
                                    <w:r w:rsidRPr="00EA443F">
                                      <w:rPr>
                                        <w:rFonts w:ascii="Arial" w:eastAsia="Times New Roman" w:hAnsi="Arial" w:cs="Arial"/>
                                        <w:color w:val="414141"/>
                                        <w:sz w:val="21"/>
                                        <w:szCs w:val="21"/>
                                        <w:lang w:eastAsia="en-AU"/>
                                      </w:rPr>
                                      <w:fldChar w:fldCharType="separate"/>
                                    </w:r>
                                    <w:r w:rsidRPr="00EA443F">
                                      <w:rPr>
                                        <w:rFonts w:ascii="Arial" w:eastAsia="Times New Roman" w:hAnsi="Arial" w:cs="Arial"/>
                                        <w:color w:val="2A3994"/>
                                        <w:sz w:val="21"/>
                                        <w:szCs w:val="21"/>
                                        <w:u w:val="single"/>
                                        <w:lang w:eastAsia="en-AU"/>
                                      </w:rPr>
                                      <w:t>[5]</w:t>
                                    </w:r>
                                    <w:r w:rsidRPr="00EA443F">
                                      <w:rPr>
                                        <w:rFonts w:ascii="Arial" w:eastAsia="Times New Roman" w:hAnsi="Arial" w:cs="Arial"/>
                                        <w:color w:val="414141"/>
                                        <w:sz w:val="21"/>
                                        <w:szCs w:val="21"/>
                                        <w:lang w:eastAsia="en-AU"/>
                                      </w:rPr>
                                      <w:fldChar w:fldCharType="end"/>
                                    </w:r>
                                    <w:bookmarkEnd w:id="5"/>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Rather than entirely accepting Justice of Appeal Nettle’s judgment as laying down an exact meaning for terms like ‘consequential loss’, subsequent cases have taken the view that the approach in </w:t>
                                    </w:r>
                                    <w:r w:rsidRPr="00EA443F">
                                      <w:rPr>
                                        <w:rFonts w:ascii="Arial" w:eastAsia="Times New Roman" w:hAnsi="Arial" w:cs="Arial"/>
                                        <w:i/>
                                        <w:iCs/>
                                        <w:color w:val="414141"/>
                                        <w:sz w:val="21"/>
                                        <w:szCs w:val="21"/>
                                        <w:lang w:eastAsia="en-AU"/>
                                      </w:rPr>
                                      <w:t>Peerless </w:t>
                                    </w:r>
                                    <w:r w:rsidRPr="00EA443F">
                                      <w:rPr>
                                        <w:rFonts w:ascii="Arial" w:eastAsia="Times New Roman" w:hAnsi="Arial" w:cs="Arial"/>
                                        <w:color w:val="414141"/>
                                        <w:sz w:val="21"/>
                                        <w:szCs w:val="21"/>
                                        <w:lang w:eastAsia="en-AU"/>
                                      </w:rPr>
                                      <w:t>demonstrates that the meaning of ‘consequential loss’ and similar terms when they arise in contracts is never fixed. Instead, the meaning in any particular instance must be determined in the context of the contract as a whole, and also in light of the features of the business arrangement between the parties.</w:t>
                                    </w:r>
                                    <w:bookmarkStart w:id="6" w:name="_ftnref6"/>
                                    <w:r w:rsidRPr="00EA443F">
                                      <w:rPr>
                                        <w:rFonts w:ascii="Arial" w:eastAsia="Times New Roman" w:hAnsi="Arial" w:cs="Arial"/>
                                        <w:color w:val="414141"/>
                                        <w:sz w:val="21"/>
                                        <w:szCs w:val="21"/>
                                        <w:lang w:eastAsia="en-AU"/>
                                      </w:rPr>
                                      <w:fldChar w:fldCharType="begin"/>
                                    </w:r>
                                    <w:r w:rsidRPr="00EA443F">
                                      <w:rPr>
                                        <w:rFonts w:ascii="Arial" w:eastAsia="Times New Roman" w:hAnsi="Arial" w:cs="Arial"/>
                                        <w:color w:val="414141"/>
                                        <w:sz w:val="21"/>
                                        <w:szCs w:val="21"/>
                                        <w:lang w:eastAsia="en-AU"/>
                                      </w:rPr>
                                      <w:instrText xml:space="preserve"> HYPERLINK "http://us4.campaign-archive2.com/?u=d7ac35d590989fce96f6014e9&amp;id=f339fbc25c" \l "_ftn6" \o "" </w:instrText>
                                    </w:r>
                                    <w:r w:rsidRPr="00EA443F">
                                      <w:rPr>
                                        <w:rFonts w:ascii="Arial" w:eastAsia="Times New Roman" w:hAnsi="Arial" w:cs="Arial"/>
                                        <w:color w:val="414141"/>
                                        <w:sz w:val="21"/>
                                        <w:szCs w:val="21"/>
                                        <w:lang w:eastAsia="en-AU"/>
                                      </w:rPr>
                                      <w:fldChar w:fldCharType="separate"/>
                                    </w:r>
                                    <w:r w:rsidRPr="00EA443F">
                                      <w:rPr>
                                        <w:rFonts w:ascii="Arial" w:eastAsia="Times New Roman" w:hAnsi="Arial" w:cs="Arial"/>
                                        <w:color w:val="2A3994"/>
                                        <w:sz w:val="21"/>
                                        <w:szCs w:val="21"/>
                                        <w:u w:val="single"/>
                                        <w:lang w:eastAsia="en-AU"/>
                                      </w:rPr>
                                      <w:t>[6]</w:t>
                                    </w:r>
                                    <w:r w:rsidRPr="00EA443F">
                                      <w:rPr>
                                        <w:rFonts w:ascii="Arial" w:eastAsia="Times New Roman" w:hAnsi="Arial" w:cs="Arial"/>
                                        <w:color w:val="414141"/>
                                        <w:sz w:val="21"/>
                                        <w:szCs w:val="21"/>
                                        <w:lang w:eastAsia="en-AU"/>
                                      </w:rPr>
                                      <w:fldChar w:fldCharType="end"/>
                                    </w:r>
                                    <w:bookmarkEnd w:id="6"/>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r>
                                    <w:r w:rsidRPr="00EA443F">
                                      <w:rPr>
                                        <w:rFonts w:ascii="Arial" w:eastAsia="Times New Roman" w:hAnsi="Arial" w:cs="Arial"/>
                                        <w:b/>
                                        <w:bCs/>
                                        <w:color w:val="414141"/>
                                        <w:sz w:val="21"/>
                                        <w:szCs w:val="21"/>
                                        <w:lang w:eastAsia="en-AU"/>
                                      </w:rPr>
                                      <w:t>Factors relevant to interpretation</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In light of the direction the courts have taken, it can be useful to consider some of the key factors of a contractual relationship which may affect how broadly a term such as ‘consequential loss’ is interpreted.</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There are a number of factors that could be relevant, including:</w:t>
                                    </w:r>
                                    <w:r w:rsidRPr="00EA443F">
                                      <w:rPr>
                                        <w:rFonts w:ascii="Arial" w:eastAsia="Times New Roman" w:hAnsi="Arial" w:cs="Arial"/>
                                        <w:color w:val="414141"/>
                                        <w:sz w:val="21"/>
                                        <w:szCs w:val="21"/>
                                        <w:lang w:eastAsia="en-AU"/>
                                      </w:rPr>
                                      <w:br/>
                                      <w:t> </w:t>
                                    </w:r>
                                  </w:p>
                                  <w:p w:rsidR="00EA443F" w:rsidRPr="00EA443F" w:rsidRDefault="00EA443F" w:rsidP="00EA443F">
                                    <w:pPr>
                                      <w:numPr>
                                        <w:ilvl w:val="0"/>
                                        <w:numId w:val="12"/>
                                      </w:numPr>
                                      <w:spacing w:before="100" w:beforeAutospacing="1" w:after="100" w:afterAutospacing="1"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whether the clause attempting to exclude liability for ‘consequential loss’ or similar losses is clearly and unambiguously worded;</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13"/>
                                      </w:numPr>
                                      <w:spacing w:before="100" w:beforeAutospacing="1" w:after="100" w:afterAutospacing="1" w:line="315" w:lineRule="atLeast"/>
                                      <w:rPr>
                                        <w:rFonts w:ascii="Arial" w:eastAsia="Times New Roman" w:hAnsi="Arial" w:cs="Arial"/>
                                        <w:color w:val="414141"/>
                                        <w:sz w:val="21"/>
                                        <w:szCs w:val="21"/>
                                        <w:lang w:eastAsia="en-AU"/>
                                      </w:rPr>
                                    </w:pPr>
                                    <w:proofErr w:type="gramStart"/>
                                    <w:r w:rsidRPr="00EA443F">
                                      <w:rPr>
                                        <w:rFonts w:ascii="Arial" w:eastAsia="Times New Roman" w:hAnsi="Arial" w:cs="Arial"/>
                                        <w:color w:val="414141"/>
                                        <w:sz w:val="21"/>
                                        <w:szCs w:val="21"/>
                                        <w:lang w:eastAsia="en-AU"/>
                                      </w:rPr>
                                      <w:t>the</w:t>
                                    </w:r>
                                    <w:proofErr w:type="gramEnd"/>
                                    <w:r w:rsidRPr="00EA443F">
                                      <w:rPr>
                                        <w:rFonts w:ascii="Arial" w:eastAsia="Times New Roman" w:hAnsi="Arial" w:cs="Arial"/>
                                        <w:color w:val="414141"/>
                                        <w:sz w:val="21"/>
                                        <w:szCs w:val="21"/>
                                        <w:lang w:eastAsia="en-AU"/>
                                      </w:rPr>
                                      <w:t xml:space="preserve"> nature of the commercial venture. For example, in In </w:t>
                                    </w:r>
                                    <w:r w:rsidRPr="00EA443F">
                                      <w:rPr>
                                        <w:rFonts w:ascii="Arial" w:eastAsia="Times New Roman" w:hAnsi="Arial" w:cs="Arial"/>
                                        <w:i/>
                                        <w:iCs/>
                                        <w:color w:val="414141"/>
                                        <w:sz w:val="21"/>
                                        <w:szCs w:val="21"/>
                                        <w:lang w:eastAsia="en-AU"/>
                                      </w:rPr>
                                      <w:t xml:space="preserve">Re </w:t>
                                    </w:r>
                                    <w:proofErr w:type="spellStart"/>
                                    <w:r w:rsidRPr="00EA443F">
                                      <w:rPr>
                                        <w:rFonts w:ascii="Arial" w:eastAsia="Times New Roman" w:hAnsi="Arial" w:cs="Arial"/>
                                        <w:i/>
                                        <w:iCs/>
                                        <w:color w:val="414141"/>
                                        <w:sz w:val="21"/>
                                        <w:szCs w:val="21"/>
                                        <w:lang w:eastAsia="en-AU"/>
                                      </w:rPr>
                                      <w:t>Westsub</w:t>
                                    </w:r>
                                    <w:proofErr w:type="spellEnd"/>
                                    <w:r w:rsidRPr="00EA443F">
                                      <w:rPr>
                                        <w:rFonts w:ascii="Arial" w:eastAsia="Times New Roman" w:hAnsi="Arial" w:cs="Arial"/>
                                        <w:i/>
                                        <w:iCs/>
                                        <w:color w:val="414141"/>
                                        <w:sz w:val="21"/>
                                        <w:szCs w:val="21"/>
                                        <w:lang w:eastAsia="en-AU"/>
                                      </w:rPr>
                                      <w:t xml:space="preserve"> Discounts Pty Ltd v </w:t>
                                    </w:r>
                                    <w:proofErr w:type="spellStart"/>
                                    <w:r w:rsidRPr="00EA443F">
                                      <w:rPr>
                                        <w:rFonts w:ascii="Arial" w:eastAsia="Times New Roman" w:hAnsi="Arial" w:cs="Arial"/>
                                        <w:i/>
                                        <w:iCs/>
                                        <w:color w:val="414141"/>
                                        <w:sz w:val="21"/>
                                        <w:szCs w:val="21"/>
                                        <w:lang w:eastAsia="en-AU"/>
                                      </w:rPr>
                                      <w:t>Idaps</w:t>
                                    </w:r>
                                    <w:proofErr w:type="spellEnd"/>
                                    <w:r w:rsidRPr="00EA443F">
                                      <w:rPr>
                                        <w:rFonts w:ascii="Arial" w:eastAsia="Times New Roman" w:hAnsi="Arial" w:cs="Arial"/>
                                        <w:i/>
                                        <w:iCs/>
                                        <w:color w:val="414141"/>
                                        <w:sz w:val="21"/>
                                        <w:szCs w:val="21"/>
                                        <w:lang w:eastAsia="en-AU"/>
                                      </w:rPr>
                                      <w:t xml:space="preserve"> Australia Limited</w:t>
                                    </w:r>
                                    <w:r w:rsidRPr="00EA443F">
                                      <w:rPr>
                                        <w:rFonts w:ascii="Arial" w:eastAsia="Times New Roman" w:hAnsi="Arial" w:cs="Arial"/>
                                        <w:color w:val="414141"/>
                                        <w:sz w:val="21"/>
                                        <w:szCs w:val="21"/>
                                        <w:lang w:eastAsia="en-AU"/>
                                      </w:rPr>
                                      <w:t> [1990] FCA 108, a seller of a product entered into a contract that was quite unprofitable for it compared to the perspective of the buyer. In this context, it was considered understandable that the seller’s liability to the buyer was intended to be limited;</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14"/>
                                      </w:numPr>
                                      <w:spacing w:before="100" w:beforeAutospacing="1" w:after="100" w:afterAutospacing="1"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lastRenderedPageBreak/>
                                      <w:t>the relative bargaining strength of the parties and whether they have both received legal advice;</w:t>
                                    </w:r>
                                    <w:bookmarkStart w:id="7" w:name="_ftnref7"/>
                                    <w:r w:rsidRPr="00EA443F">
                                      <w:rPr>
                                        <w:rFonts w:ascii="Arial" w:eastAsia="Times New Roman" w:hAnsi="Arial" w:cs="Arial"/>
                                        <w:color w:val="414141"/>
                                        <w:sz w:val="21"/>
                                        <w:szCs w:val="21"/>
                                        <w:lang w:eastAsia="en-AU"/>
                                      </w:rPr>
                                      <w:fldChar w:fldCharType="begin"/>
                                    </w:r>
                                    <w:r w:rsidRPr="00EA443F">
                                      <w:rPr>
                                        <w:rFonts w:ascii="Arial" w:eastAsia="Times New Roman" w:hAnsi="Arial" w:cs="Arial"/>
                                        <w:color w:val="414141"/>
                                        <w:sz w:val="21"/>
                                        <w:szCs w:val="21"/>
                                        <w:lang w:eastAsia="en-AU"/>
                                      </w:rPr>
                                      <w:instrText xml:space="preserve"> HYPERLINK "http://us4.campaign-archive2.com/?u=d7ac35d590989fce96f6014e9&amp;id=f339fbc25c" \l "_ftn7" \o "" </w:instrText>
                                    </w:r>
                                    <w:r w:rsidRPr="00EA443F">
                                      <w:rPr>
                                        <w:rFonts w:ascii="Arial" w:eastAsia="Times New Roman" w:hAnsi="Arial" w:cs="Arial"/>
                                        <w:color w:val="414141"/>
                                        <w:sz w:val="21"/>
                                        <w:szCs w:val="21"/>
                                        <w:lang w:eastAsia="en-AU"/>
                                      </w:rPr>
                                      <w:fldChar w:fldCharType="separate"/>
                                    </w:r>
                                    <w:r w:rsidRPr="00EA443F">
                                      <w:rPr>
                                        <w:rFonts w:ascii="Arial" w:eastAsia="Times New Roman" w:hAnsi="Arial" w:cs="Arial"/>
                                        <w:color w:val="2A3994"/>
                                        <w:sz w:val="21"/>
                                        <w:szCs w:val="21"/>
                                        <w:u w:val="single"/>
                                        <w:lang w:eastAsia="en-AU"/>
                                      </w:rPr>
                                      <w:t>[7]</w:t>
                                    </w:r>
                                    <w:r w:rsidRPr="00EA443F">
                                      <w:rPr>
                                        <w:rFonts w:ascii="Arial" w:eastAsia="Times New Roman" w:hAnsi="Arial" w:cs="Arial"/>
                                        <w:color w:val="414141"/>
                                        <w:sz w:val="21"/>
                                        <w:szCs w:val="21"/>
                                        <w:lang w:eastAsia="en-AU"/>
                                      </w:rPr>
                                      <w:fldChar w:fldCharType="end"/>
                                    </w:r>
                                    <w:bookmarkEnd w:id="7"/>
                                    <w:r w:rsidRPr="00EA443F">
                                      <w:rPr>
                                        <w:rFonts w:ascii="Arial" w:eastAsia="Times New Roman" w:hAnsi="Arial" w:cs="Arial"/>
                                        <w:color w:val="414141"/>
                                        <w:sz w:val="21"/>
                                        <w:szCs w:val="21"/>
                                        <w:lang w:eastAsia="en-AU"/>
                                      </w:rPr>
                                      <w:t> and</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numPr>
                                        <w:ilvl w:val="0"/>
                                        <w:numId w:val="15"/>
                                      </w:numPr>
                                      <w:spacing w:before="100" w:beforeAutospacing="1" w:after="100" w:afterAutospacing="1"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Whether the contract is ‘internally consistent’ in how it deals with the meanings of words and the rights and liabilities of the parties. For example,  in </w:t>
                                    </w:r>
                                    <w:r w:rsidRPr="00EA443F">
                                      <w:rPr>
                                        <w:rFonts w:ascii="Arial" w:eastAsia="Times New Roman" w:hAnsi="Arial" w:cs="Arial"/>
                                        <w:i/>
                                        <w:iCs/>
                                        <w:color w:val="414141"/>
                                        <w:sz w:val="21"/>
                                        <w:szCs w:val="21"/>
                                        <w:lang w:eastAsia="en-AU"/>
                                      </w:rPr>
                                      <w:t>Regional Power Corporation v Pacific Hydro Group Two Pty Ltd [No 2]</w:t>
                                    </w:r>
                                    <w:r w:rsidRPr="00EA443F">
                                      <w:rPr>
                                        <w:rFonts w:ascii="Arial" w:eastAsia="Times New Roman" w:hAnsi="Arial" w:cs="Arial"/>
                                        <w:color w:val="414141"/>
                                        <w:sz w:val="21"/>
                                        <w:szCs w:val="21"/>
                                        <w:lang w:eastAsia="en-AU"/>
                                      </w:rPr>
                                      <w:t> [2013] WASC 356, the defendants argued that the contract set out a comprehensive regime of remedies for breach of the contract which excluded any common law rights. In this case, Justice Kenneth Martin held that such rights were not excluded, as the contract was not consistent as to how it referred to or treated such rights.</w:t>
                                    </w:r>
                                    <w:bookmarkStart w:id="8" w:name="_ftnref8"/>
                                    <w:r w:rsidRPr="00EA443F">
                                      <w:rPr>
                                        <w:rFonts w:ascii="Arial" w:eastAsia="Times New Roman" w:hAnsi="Arial" w:cs="Arial"/>
                                        <w:color w:val="414141"/>
                                        <w:sz w:val="21"/>
                                        <w:szCs w:val="21"/>
                                        <w:lang w:eastAsia="en-AU"/>
                                      </w:rPr>
                                      <w:fldChar w:fldCharType="begin"/>
                                    </w:r>
                                    <w:r w:rsidRPr="00EA443F">
                                      <w:rPr>
                                        <w:rFonts w:ascii="Arial" w:eastAsia="Times New Roman" w:hAnsi="Arial" w:cs="Arial"/>
                                        <w:color w:val="414141"/>
                                        <w:sz w:val="21"/>
                                        <w:szCs w:val="21"/>
                                        <w:lang w:eastAsia="en-AU"/>
                                      </w:rPr>
                                      <w:instrText xml:space="preserve"> HYPERLINK "http://us4.campaign-archive2.com/?u=d7ac35d590989fce96f6014e9&amp;id=f339fbc25c" \l "_ftn8" \o "" </w:instrText>
                                    </w:r>
                                    <w:r w:rsidRPr="00EA443F">
                                      <w:rPr>
                                        <w:rFonts w:ascii="Arial" w:eastAsia="Times New Roman" w:hAnsi="Arial" w:cs="Arial"/>
                                        <w:color w:val="414141"/>
                                        <w:sz w:val="21"/>
                                        <w:szCs w:val="21"/>
                                        <w:lang w:eastAsia="en-AU"/>
                                      </w:rPr>
                                      <w:fldChar w:fldCharType="separate"/>
                                    </w:r>
                                    <w:r w:rsidRPr="00EA443F">
                                      <w:rPr>
                                        <w:rFonts w:ascii="Arial" w:eastAsia="Times New Roman" w:hAnsi="Arial" w:cs="Arial"/>
                                        <w:color w:val="2A3994"/>
                                        <w:sz w:val="21"/>
                                        <w:szCs w:val="21"/>
                                        <w:u w:val="single"/>
                                        <w:lang w:eastAsia="en-AU"/>
                                      </w:rPr>
                                      <w:t>[8]</w:t>
                                    </w:r>
                                    <w:r w:rsidRPr="00EA443F">
                                      <w:rPr>
                                        <w:rFonts w:ascii="Arial" w:eastAsia="Times New Roman" w:hAnsi="Arial" w:cs="Arial"/>
                                        <w:color w:val="414141"/>
                                        <w:sz w:val="21"/>
                                        <w:szCs w:val="21"/>
                                        <w:lang w:eastAsia="en-AU"/>
                                      </w:rPr>
                                      <w:fldChar w:fldCharType="end"/>
                                    </w:r>
                                    <w:bookmarkEnd w:id="8"/>
                                    <w:r w:rsidRPr="00EA443F">
                                      <w:rPr>
                                        <w:rFonts w:ascii="Arial" w:eastAsia="Times New Roman" w:hAnsi="Arial" w:cs="Arial"/>
                                        <w:color w:val="414141"/>
                                        <w:sz w:val="21"/>
                                        <w:szCs w:val="21"/>
                                        <w:lang w:eastAsia="en-AU"/>
                                      </w:rPr>
                                      <w:t> In some parts of the contract common law rights were clearly excluded, but in others the terms of the contract were much less firm.</w:t>
                                    </w:r>
                                    <w:bookmarkStart w:id="9" w:name="_ftnref9"/>
                                    <w:r w:rsidRPr="00EA443F">
                                      <w:rPr>
                                        <w:rFonts w:ascii="Arial" w:eastAsia="Times New Roman" w:hAnsi="Arial" w:cs="Arial"/>
                                        <w:color w:val="414141"/>
                                        <w:sz w:val="21"/>
                                        <w:szCs w:val="21"/>
                                        <w:lang w:eastAsia="en-AU"/>
                                      </w:rPr>
                                      <w:fldChar w:fldCharType="begin"/>
                                    </w:r>
                                    <w:r w:rsidRPr="00EA443F">
                                      <w:rPr>
                                        <w:rFonts w:ascii="Arial" w:eastAsia="Times New Roman" w:hAnsi="Arial" w:cs="Arial"/>
                                        <w:color w:val="414141"/>
                                        <w:sz w:val="21"/>
                                        <w:szCs w:val="21"/>
                                        <w:lang w:eastAsia="en-AU"/>
                                      </w:rPr>
                                      <w:instrText xml:space="preserve"> HYPERLINK "http://us4.campaign-archive2.com/?u=d7ac35d590989fce96f6014e9&amp;id=f339fbc25c" \l "_ftn9" \o "" </w:instrText>
                                    </w:r>
                                    <w:r w:rsidRPr="00EA443F">
                                      <w:rPr>
                                        <w:rFonts w:ascii="Arial" w:eastAsia="Times New Roman" w:hAnsi="Arial" w:cs="Arial"/>
                                        <w:color w:val="414141"/>
                                        <w:sz w:val="21"/>
                                        <w:szCs w:val="21"/>
                                        <w:lang w:eastAsia="en-AU"/>
                                      </w:rPr>
                                      <w:fldChar w:fldCharType="separate"/>
                                    </w:r>
                                    <w:r w:rsidRPr="00EA443F">
                                      <w:rPr>
                                        <w:rFonts w:ascii="Arial" w:eastAsia="Times New Roman" w:hAnsi="Arial" w:cs="Arial"/>
                                        <w:color w:val="2A3994"/>
                                        <w:sz w:val="21"/>
                                        <w:szCs w:val="21"/>
                                        <w:u w:val="single"/>
                                        <w:lang w:eastAsia="en-AU"/>
                                      </w:rPr>
                                      <w:t>[9]</w:t>
                                    </w:r>
                                    <w:r w:rsidRPr="00EA443F">
                                      <w:rPr>
                                        <w:rFonts w:ascii="Arial" w:eastAsia="Times New Roman" w:hAnsi="Arial" w:cs="Arial"/>
                                        <w:color w:val="414141"/>
                                        <w:sz w:val="21"/>
                                        <w:szCs w:val="21"/>
                                        <w:lang w:eastAsia="en-AU"/>
                                      </w:rPr>
                                      <w:fldChar w:fldCharType="end"/>
                                    </w:r>
                                    <w:bookmarkEnd w:id="9"/>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r w:rsidRPr="00EA443F">
                                      <w:rPr>
                                        <w:rFonts w:ascii="Arial" w:eastAsia="Times New Roman" w:hAnsi="Arial" w:cs="Arial"/>
                                        <w:color w:val="414141"/>
                                        <w:sz w:val="21"/>
                                        <w:szCs w:val="21"/>
                                        <w:lang w:eastAsia="en-AU"/>
                                      </w:rPr>
                                      <w:br/>
                                    </w:r>
                                    <w:r w:rsidRPr="00EA443F">
                                      <w:rPr>
                                        <w:rFonts w:ascii="Arial" w:eastAsia="Times New Roman" w:hAnsi="Arial" w:cs="Arial"/>
                                        <w:b/>
                                        <w:bCs/>
                                        <w:color w:val="414141"/>
                                        <w:sz w:val="21"/>
                                        <w:szCs w:val="21"/>
                                        <w:lang w:eastAsia="en-AU"/>
                                      </w:rPr>
                                      <w:t>Implications for contractual drafting</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As each clause excluding liability for ‘consequential loss’ is interpreted in its own context, while it is possible to know in advance what features of a contractual relationship might be relevant, it is never possible to know whether or not a clause simply referring to ‘consequential’ or ‘indirect’ loss will have the breadth of effect which the parties may expect.</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As a result, it is usually more prudent to provide a comprehensive list of the forms of damage which are intended to be excluded, or at least provide a reasonable list of examples of what the contract means by terms such as ‘consequential loss’ or ‘indirect loss’. In this way, a contract can provide more certain protection against a particular liability, and can also provide guidance to a court as to how wide an exclusion of liability was intended to be.</w:t>
                                    </w:r>
                                    <w:r w:rsidRPr="00EA443F">
                                      <w:rPr>
                                        <w:rFonts w:ascii="Arial" w:eastAsia="Times New Roman" w:hAnsi="Arial" w:cs="Arial"/>
                                        <w:color w:val="414141"/>
                                        <w:sz w:val="21"/>
                                        <w:szCs w:val="21"/>
                                        <w:lang w:eastAsia="en-AU"/>
                                      </w:rPr>
                                      <w:br/>
                                      <w:t> </w:t>
                                    </w:r>
                                    <w:r w:rsidRPr="00EA443F">
                                      <w:rPr>
                                        <w:rFonts w:ascii="Arial" w:eastAsia="Times New Roman" w:hAnsi="Arial" w:cs="Arial"/>
                                        <w:color w:val="414141"/>
                                        <w:sz w:val="21"/>
                                        <w:szCs w:val="21"/>
                                        <w:lang w:eastAsia="en-AU"/>
                                      </w:rPr>
                                      <w:br/>
                                      <w:t> </w:t>
                                    </w:r>
                                  </w:p>
                                  <w:p w:rsidR="00EA443F" w:rsidRPr="00EA443F" w:rsidRDefault="00EA443F" w:rsidP="00EA443F">
                                    <w:pPr>
                                      <w:spacing w:after="0" w:line="315" w:lineRule="atLeast"/>
                                      <w:jc w:val="righ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r w:rsidRPr="00EA443F">
                                      <w:rPr>
                                        <w:rFonts w:ascii="Arial" w:eastAsia="Times New Roman" w:hAnsi="Arial" w:cs="Arial"/>
                                        <w:color w:val="414141"/>
                                        <w:sz w:val="21"/>
                                        <w:szCs w:val="21"/>
                                        <w:lang w:eastAsia="en-AU"/>
                                      </w:rPr>
                                      <w:br/>
                                      <w:t>Ashley Rihak</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 </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pict>
                                        <v:rect id="_x0000_i1026" style="width:148.95pt;height:.75pt" o:hrpct="330" o:hrstd="t" o:hr="t" fillcolor="#a0a0a0" stroked="f"/>
                                      </w:pict>
                                    </w:r>
                                  </w:p>
                                  <w:p w:rsidR="00EA443F" w:rsidRPr="00EA443F" w:rsidRDefault="00EA443F" w:rsidP="00EA443F">
                                    <w:pPr>
                                      <w:spacing w:after="0" w:line="315" w:lineRule="atLeast"/>
                                      <w:rPr>
                                        <w:rFonts w:ascii="Arial" w:eastAsia="Times New Roman" w:hAnsi="Arial" w:cs="Arial"/>
                                        <w:color w:val="414141"/>
                                        <w:sz w:val="21"/>
                                        <w:szCs w:val="21"/>
                                        <w:lang w:eastAsia="en-AU"/>
                                      </w:rPr>
                                    </w:pPr>
                                    <w:hyperlink r:id="rId10" w:anchor="_ftnref1" w:tooltip="" w:history="1">
                                      <w:r w:rsidRPr="00EA443F">
                                        <w:rPr>
                                          <w:rFonts w:ascii="Arial" w:eastAsia="Times New Roman" w:hAnsi="Arial" w:cs="Arial"/>
                                          <w:color w:val="2A3994"/>
                                          <w:sz w:val="18"/>
                                          <w:szCs w:val="18"/>
                                          <w:u w:val="single"/>
                                          <w:lang w:eastAsia="en-AU"/>
                                        </w:rPr>
                                        <w:t>[1]</w:t>
                                      </w:r>
                                    </w:hyperlink>
                                    <w:bookmarkEnd w:id="1"/>
                                    <w:r w:rsidRPr="00EA443F">
                                      <w:rPr>
                                        <w:rFonts w:ascii="Arial" w:eastAsia="Times New Roman" w:hAnsi="Arial" w:cs="Arial"/>
                                        <w:color w:val="414141"/>
                                        <w:sz w:val="18"/>
                                        <w:szCs w:val="18"/>
                                        <w:lang w:eastAsia="en-AU"/>
                                      </w:rPr>
                                      <w:t> (2008) 19 VR 358 (“</w:t>
                                    </w:r>
                                    <w:r w:rsidRPr="00EA443F">
                                      <w:rPr>
                                        <w:rFonts w:ascii="Arial" w:eastAsia="Times New Roman" w:hAnsi="Arial" w:cs="Arial"/>
                                        <w:i/>
                                        <w:iCs/>
                                        <w:color w:val="414141"/>
                                        <w:sz w:val="18"/>
                                        <w:szCs w:val="18"/>
                                        <w:lang w:eastAsia="en-AU"/>
                                      </w:rPr>
                                      <w:t>Peerless</w:t>
                                    </w:r>
                                    <w:r w:rsidRPr="00EA443F">
                                      <w:rPr>
                                        <w:rFonts w:ascii="Arial" w:eastAsia="Times New Roman" w:hAnsi="Arial" w:cs="Arial"/>
                                        <w:color w:val="414141"/>
                                        <w:sz w:val="18"/>
                                        <w:szCs w:val="18"/>
                                        <w:lang w:eastAsia="en-AU"/>
                                      </w:rPr>
                                      <w:t>”).</w:t>
                                    </w:r>
                                  </w:p>
                                  <w:bookmarkStart w:id="10" w:name="_ftn2"/>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18"/>
                                        <w:szCs w:val="18"/>
                                        <w:lang w:eastAsia="en-AU"/>
                                      </w:rPr>
                                      <w:fldChar w:fldCharType="begin"/>
                                    </w:r>
                                    <w:r w:rsidRPr="00EA443F">
                                      <w:rPr>
                                        <w:rFonts w:ascii="Arial" w:eastAsia="Times New Roman" w:hAnsi="Arial" w:cs="Arial"/>
                                        <w:color w:val="414141"/>
                                        <w:sz w:val="18"/>
                                        <w:szCs w:val="18"/>
                                        <w:lang w:eastAsia="en-AU"/>
                                      </w:rPr>
                                      <w:instrText xml:space="preserve"> HYPERLINK "http://us4.campaign-archive2.com/?u=d7ac35d590989fce96f6014e9&amp;id=f339fbc25c" \l "_ftnref2" \o "" </w:instrText>
                                    </w:r>
                                    <w:r w:rsidRPr="00EA443F">
                                      <w:rPr>
                                        <w:rFonts w:ascii="Arial" w:eastAsia="Times New Roman" w:hAnsi="Arial" w:cs="Arial"/>
                                        <w:color w:val="414141"/>
                                        <w:sz w:val="18"/>
                                        <w:szCs w:val="18"/>
                                        <w:lang w:eastAsia="en-AU"/>
                                      </w:rPr>
                                      <w:fldChar w:fldCharType="separate"/>
                                    </w:r>
                                    <w:r w:rsidRPr="00EA443F">
                                      <w:rPr>
                                        <w:rFonts w:ascii="Arial" w:eastAsia="Times New Roman" w:hAnsi="Arial" w:cs="Arial"/>
                                        <w:color w:val="2A3994"/>
                                        <w:sz w:val="18"/>
                                        <w:szCs w:val="18"/>
                                        <w:u w:val="single"/>
                                        <w:lang w:eastAsia="en-AU"/>
                                      </w:rPr>
                                      <w:t>[2]</w:t>
                                    </w:r>
                                    <w:r w:rsidRPr="00EA443F">
                                      <w:rPr>
                                        <w:rFonts w:ascii="Arial" w:eastAsia="Times New Roman" w:hAnsi="Arial" w:cs="Arial"/>
                                        <w:color w:val="414141"/>
                                        <w:sz w:val="18"/>
                                        <w:szCs w:val="18"/>
                                        <w:lang w:eastAsia="en-AU"/>
                                      </w:rPr>
                                      <w:fldChar w:fldCharType="end"/>
                                    </w:r>
                                    <w:bookmarkEnd w:id="10"/>
                                    <w:r w:rsidRPr="00EA443F">
                                      <w:rPr>
                                        <w:rFonts w:ascii="Arial" w:eastAsia="Times New Roman" w:hAnsi="Arial" w:cs="Arial"/>
                                        <w:color w:val="414141"/>
                                        <w:sz w:val="18"/>
                                        <w:szCs w:val="18"/>
                                        <w:lang w:eastAsia="en-AU"/>
                                      </w:rPr>
                                      <w:t> Ibid [5].</w:t>
                                    </w:r>
                                  </w:p>
                                  <w:bookmarkStart w:id="11" w:name="_ftn3"/>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18"/>
                                        <w:szCs w:val="18"/>
                                        <w:lang w:eastAsia="en-AU"/>
                                      </w:rPr>
                                      <w:fldChar w:fldCharType="begin"/>
                                    </w:r>
                                    <w:r w:rsidRPr="00EA443F">
                                      <w:rPr>
                                        <w:rFonts w:ascii="Arial" w:eastAsia="Times New Roman" w:hAnsi="Arial" w:cs="Arial"/>
                                        <w:color w:val="414141"/>
                                        <w:sz w:val="18"/>
                                        <w:szCs w:val="18"/>
                                        <w:lang w:eastAsia="en-AU"/>
                                      </w:rPr>
                                      <w:instrText xml:space="preserve"> HYPERLINK "http://us4.campaign-archive2.com/?u=d7ac35d590989fce96f6014e9&amp;id=f339fbc25c" \l "_ftnref3" \o "" </w:instrText>
                                    </w:r>
                                    <w:r w:rsidRPr="00EA443F">
                                      <w:rPr>
                                        <w:rFonts w:ascii="Arial" w:eastAsia="Times New Roman" w:hAnsi="Arial" w:cs="Arial"/>
                                        <w:color w:val="414141"/>
                                        <w:sz w:val="18"/>
                                        <w:szCs w:val="18"/>
                                        <w:lang w:eastAsia="en-AU"/>
                                      </w:rPr>
                                      <w:fldChar w:fldCharType="separate"/>
                                    </w:r>
                                    <w:r w:rsidRPr="00EA443F">
                                      <w:rPr>
                                        <w:rFonts w:ascii="Arial" w:eastAsia="Times New Roman" w:hAnsi="Arial" w:cs="Arial"/>
                                        <w:color w:val="2A3994"/>
                                        <w:sz w:val="18"/>
                                        <w:szCs w:val="18"/>
                                        <w:u w:val="single"/>
                                        <w:lang w:eastAsia="en-AU"/>
                                      </w:rPr>
                                      <w:t>[3]</w:t>
                                    </w:r>
                                    <w:r w:rsidRPr="00EA443F">
                                      <w:rPr>
                                        <w:rFonts w:ascii="Arial" w:eastAsia="Times New Roman" w:hAnsi="Arial" w:cs="Arial"/>
                                        <w:color w:val="414141"/>
                                        <w:sz w:val="18"/>
                                        <w:szCs w:val="18"/>
                                        <w:lang w:eastAsia="en-AU"/>
                                      </w:rPr>
                                      <w:fldChar w:fldCharType="end"/>
                                    </w:r>
                                    <w:bookmarkEnd w:id="11"/>
                                    <w:r w:rsidRPr="00EA443F">
                                      <w:rPr>
                                        <w:rFonts w:ascii="Arial" w:eastAsia="Times New Roman" w:hAnsi="Arial" w:cs="Arial"/>
                                        <w:color w:val="414141"/>
                                        <w:sz w:val="18"/>
                                        <w:szCs w:val="18"/>
                                        <w:lang w:eastAsia="en-AU"/>
                                      </w:rPr>
                                      <w:t> Ibid [93].</w:t>
                                    </w:r>
                                  </w:p>
                                  <w:bookmarkStart w:id="12" w:name="_ftn4"/>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18"/>
                                        <w:szCs w:val="18"/>
                                        <w:lang w:eastAsia="en-AU"/>
                                      </w:rPr>
                                      <w:fldChar w:fldCharType="begin"/>
                                    </w:r>
                                    <w:r w:rsidRPr="00EA443F">
                                      <w:rPr>
                                        <w:rFonts w:ascii="Arial" w:eastAsia="Times New Roman" w:hAnsi="Arial" w:cs="Arial"/>
                                        <w:color w:val="414141"/>
                                        <w:sz w:val="18"/>
                                        <w:szCs w:val="18"/>
                                        <w:lang w:eastAsia="en-AU"/>
                                      </w:rPr>
                                      <w:instrText xml:space="preserve"> HYPERLINK "http://us4.campaign-archive2.com/?u=d7ac35d590989fce96f6014e9&amp;id=f339fbc25c" \l "_ftnref4" \o "" </w:instrText>
                                    </w:r>
                                    <w:r w:rsidRPr="00EA443F">
                                      <w:rPr>
                                        <w:rFonts w:ascii="Arial" w:eastAsia="Times New Roman" w:hAnsi="Arial" w:cs="Arial"/>
                                        <w:color w:val="414141"/>
                                        <w:sz w:val="18"/>
                                        <w:szCs w:val="18"/>
                                        <w:lang w:eastAsia="en-AU"/>
                                      </w:rPr>
                                      <w:fldChar w:fldCharType="separate"/>
                                    </w:r>
                                    <w:r w:rsidRPr="00EA443F">
                                      <w:rPr>
                                        <w:rFonts w:ascii="Arial" w:eastAsia="Times New Roman" w:hAnsi="Arial" w:cs="Arial"/>
                                        <w:color w:val="2A3994"/>
                                        <w:sz w:val="18"/>
                                        <w:szCs w:val="18"/>
                                        <w:u w:val="single"/>
                                        <w:lang w:eastAsia="en-AU"/>
                                      </w:rPr>
                                      <w:t>[4]</w:t>
                                    </w:r>
                                    <w:r w:rsidRPr="00EA443F">
                                      <w:rPr>
                                        <w:rFonts w:ascii="Arial" w:eastAsia="Times New Roman" w:hAnsi="Arial" w:cs="Arial"/>
                                        <w:color w:val="414141"/>
                                        <w:sz w:val="18"/>
                                        <w:szCs w:val="18"/>
                                        <w:lang w:eastAsia="en-AU"/>
                                      </w:rPr>
                                      <w:fldChar w:fldCharType="end"/>
                                    </w:r>
                                    <w:bookmarkEnd w:id="12"/>
                                    <w:r w:rsidRPr="00EA443F">
                                      <w:rPr>
                                        <w:rFonts w:ascii="Arial" w:eastAsia="Times New Roman" w:hAnsi="Arial" w:cs="Arial"/>
                                        <w:color w:val="414141"/>
                                        <w:sz w:val="18"/>
                                        <w:szCs w:val="18"/>
                                        <w:lang w:eastAsia="en-AU"/>
                                      </w:rPr>
                                      <w:t> Ibid.</w:t>
                                    </w:r>
                                  </w:p>
                                  <w:bookmarkStart w:id="13" w:name="_ftn5"/>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18"/>
                                        <w:szCs w:val="18"/>
                                        <w:lang w:eastAsia="en-AU"/>
                                      </w:rPr>
                                      <w:fldChar w:fldCharType="begin"/>
                                    </w:r>
                                    <w:r w:rsidRPr="00EA443F">
                                      <w:rPr>
                                        <w:rFonts w:ascii="Arial" w:eastAsia="Times New Roman" w:hAnsi="Arial" w:cs="Arial"/>
                                        <w:color w:val="414141"/>
                                        <w:sz w:val="18"/>
                                        <w:szCs w:val="18"/>
                                        <w:lang w:eastAsia="en-AU"/>
                                      </w:rPr>
                                      <w:instrText xml:space="preserve"> HYPERLINK "http://us4.campaign-archive2.com/?u=d7ac35d590989fce96f6014e9&amp;id=f339fbc25c" \l "_ftnref5" \o "" </w:instrText>
                                    </w:r>
                                    <w:r w:rsidRPr="00EA443F">
                                      <w:rPr>
                                        <w:rFonts w:ascii="Arial" w:eastAsia="Times New Roman" w:hAnsi="Arial" w:cs="Arial"/>
                                        <w:color w:val="414141"/>
                                        <w:sz w:val="18"/>
                                        <w:szCs w:val="18"/>
                                        <w:lang w:eastAsia="en-AU"/>
                                      </w:rPr>
                                      <w:fldChar w:fldCharType="separate"/>
                                    </w:r>
                                    <w:r w:rsidRPr="00EA443F">
                                      <w:rPr>
                                        <w:rFonts w:ascii="Arial" w:eastAsia="Times New Roman" w:hAnsi="Arial" w:cs="Arial"/>
                                        <w:color w:val="2A3994"/>
                                        <w:sz w:val="18"/>
                                        <w:szCs w:val="18"/>
                                        <w:u w:val="single"/>
                                        <w:lang w:eastAsia="en-AU"/>
                                      </w:rPr>
                                      <w:t>[5]</w:t>
                                    </w:r>
                                    <w:r w:rsidRPr="00EA443F">
                                      <w:rPr>
                                        <w:rFonts w:ascii="Arial" w:eastAsia="Times New Roman" w:hAnsi="Arial" w:cs="Arial"/>
                                        <w:color w:val="414141"/>
                                        <w:sz w:val="18"/>
                                        <w:szCs w:val="18"/>
                                        <w:lang w:eastAsia="en-AU"/>
                                      </w:rPr>
                                      <w:fldChar w:fldCharType="end"/>
                                    </w:r>
                                    <w:bookmarkEnd w:id="13"/>
                                    <w:r w:rsidRPr="00EA443F">
                                      <w:rPr>
                                        <w:rFonts w:ascii="Arial" w:eastAsia="Times New Roman" w:hAnsi="Arial" w:cs="Arial"/>
                                        <w:color w:val="414141"/>
                                        <w:sz w:val="18"/>
                                        <w:szCs w:val="18"/>
                                        <w:lang w:eastAsia="en-AU"/>
                                      </w:rPr>
                                      <w:t> Ibid [94].</w:t>
                                    </w:r>
                                  </w:p>
                                  <w:bookmarkStart w:id="14" w:name="_ftn6"/>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18"/>
                                        <w:szCs w:val="18"/>
                                        <w:lang w:eastAsia="en-AU"/>
                                      </w:rPr>
                                      <w:lastRenderedPageBreak/>
                                      <w:fldChar w:fldCharType="begin"/>
                                    </w:r>
                                    <w:r w:rsidRPr="00EA443F">
                                      <w:rPr>
                                        <w:rFonts w:ascii="Arial" w:eastAsia="Times New Roman" w:hAnsi="Arial" w:cs="Arial"/>
                                        <w:color w:val="414141"/>
                                        <w:sz w:val="18"/>
                                        <w:szCs w:val="18"/>
                                        <w:lang w:eastAsia="en-AU"/>
                                      </w:rPr>
                                      <w:instrText xml:space="preserve"> HYPERLINK "http://us4.campaign-archive2.com/?u=d7ac35d590989fce96f6014e9&amp;id=f339fbc25c" \l "_ftnref6" \o "" </w:instrText>
                                    </w:r>
                                    <w:r w:rsidRPr="00EA443F">
                                      <w:rPr>
                                        <w:rFonts w:ascii="Arial" w:eastAsia="Times New Roman" w:hAnsi="Arial" w:cs="Arial"/>
                                        <w:color w:val="414141"/>
                                        <w:sz w:val="18"/>
                                        <w:szCs w:val="18"/>
                                        <w:lang w:eastAsia="en-AU"/>
                                      </w:rPr>
                                      <w:fldChar w:fldCharType="separate"/>
                                    </w:r>
                                    <w:r w:rsidRPr="00EA443F">
                                      <w:rPr>
                                        <w:rFonts w:ascii="Arial" w:eastAsia="Times New Roman" w:hAnsi="Arial" w:cs="Arial"/>
                                        <w:color w:val="2A3994"/>
                                        <w:sz w:val="18"/>
                                        <w:szCs w:val="18"/>
                                        <w:u w:val="single"/>
                                        <w:lang w:eastAsia="en-AU"/>
                                      </w:rPr>
                                      <w:t>[6]</w:t>
                                    </w:r>
                                    <w:r w:rsidRPr="00EA443F">
                                      <w:rPr>
                                        <w:rFonts w:ascii="Arial" w:eastAsia="Times New Roman" w:hAnsi="Arial" w:cs="Arial"/>
                                        <w:color w:val="414141"/>
                                        <w:sz w:val="18"/>
                                        <w:szCs w:val="18"/>
                                        <w:lang w:eastAsia="en-AU"/>
                                      </w:rPr>
                                      <w:fldChar w:fldCharType="end"/>
                                    </w:r>
                                    <w:bookmarkEnd w:id="14"/>
                                    <w:r w:rsidRPr="00EA443F">
                                      <w:rPr>
                                        <w:rFonts w:ascii="Arial" w:eastAsia="Times New Roman" w:hAnsi="Arial" w:cs="Arial"/>
                                        <w:color w:val="414141"/>
                                        <w:sz w:val="18"/>
                                        <w:szCs w:val="18"/>
                                        <w:lang w:eastAsia="en-AU"/>
                                      </w:rPr>
                                      <w:t xml:space="preserve"> See, </w:t>
                                    </w:r>
                                    <w:proofErr w:type="spellStart"/>
                                    <w:r w:rsidRPr="00EA443F">
                                      <w:rPr>
                                        <w:rFonts w:ascii="Arial" w:eastAsia="Times New Roman" w:hAnsi="Arial" w:cs="Arial"/>
                                        <w:color w:val="414141"/>
                                        <w:sz w:val="18"/>
                                        <w:szCs w:val="18"/>
                                        <w:lang w:eastAsia="en-AU"/>
                                      </w:rPr>
                                      <w:t>eg</w:t>
                                    </w:r>
                                    <w:proofErr w:type="spellEnd"/>
                                    <w:r w:rsidRPr="00EA443F">
                                      <w:rPr>
                                        <w:rFonts w:ascii="Arial" w:eastAsia="Times New Roman" w:hAnsi="Arial" w:cs="Arial"/>
                                        <w:color w:val="414141"/>
                                        <w:sz w:val="18"/>
                                        <w:szCs w:val="18"/>
                                        <w:lang w:eastAsia="en-AU"/>
                                      </w:rPr>
                                      <w:t>, </w:t>
                                    </w:r>
                                    <w:r w:rsidRPr="00EA443F">
                                      <w:rPr>
                                        <w:rFonts w:ascii="Arial" w:eastAsia="Times New Roman" w:hAnsi="Arial" w:cs="Arial"/>
                                        <w:i/>
                                        <w:iCs/>
                                        <w:color w:val="414141"/>
                                        <w:sz w:val="18"/>
                                        <w:szCs w:val="18"/>
                                        <w:lang w:eastAsia="en-AU"/>
                                      </w:rPr>
                                      <w:t>SMEC Australia Pty Ltd v Valentine Falls Estate Pty Ltd</w:t>
                                    </w:r>
                                    <w:r w:rsidRPr="00EA443F">
                                      <w:rPr>
                                        <w:rFonts w:ascii="Arial" w:eastAsia="Times New Roman" w:hAnsi="Arial" w:cs="Arial"/>
                                        <w:color w:val="414141"/>
                                        <w:sz w:val="18"/>
                                        <w:szCs w:val="18"/>
                                        <w:lang w:eastAsia="en-AU"/>
                                      </w:rPr>
                                      <w:t> [2011] WASCA 138, [25]; </w:t>
                                    </w:r>
                                    <w:r w:rsidRPr="00EA443F">
                                      <w:rPr>
                                        <w:rFonts w:ascii="Arial" w:eastAsia="Times New Roman" w:hAnsi="Arial" w:cs="Arial"/>
                                        <w:i/>
                                        <w:iCs/>
                                        <w:color w:val="414141"/>
                                        <w:sz w:val="18"/>
                                        <w:szCs w:val="18"/>
                                        <w:lang w:eastAsia="en-AU"/>
                                      </w:rPr>
                                      <w:t>Regional Power Corporation -v- Pacific Hydro Group Two Pty Ltd</w:t>
                                    </w:r>
                                    <w:r w:rsidRPr="00EA443F">
                                      <w:rPr>
                                        <w:rFonts w:ascii="Arial" w:eastAsia="Times New Roman" w:hAnsi="Arial" w:cs="Arial"/>
                                        <w:color w:val="414141"/>
                                        <w:sz w:val="18"/>
                                        <w:szCs w:val="18"/>
                                        <w:lang w:eastAsia="en-AU"/>
                                      </w:rPr>
                                      <w:t> </w:t>
                                    </w:r>
                                    <w:r w:rsidRPr="00EA443F">
                                      <w:rPr>
                                        <w:rFonts w:ascii="Arial" w:eastAsia="Times New Roman" w:hAnsi="Arial" w:cs="Arial"/>
                                        <w:i/>
                                        <w:iCs/>
                                        <w:color w:val="414141"/>
                                        <w:sz w:val="18"/>
                                        <w:szCs w:val="18"/>
                                        <w:lang w:eastAsia="en-AU"/>
                                      </w:rPr>
                                      <w:t>[No 2]</w:t>
                                    </w:r>
                                    <w:r w:rsidRPr="00EA443F">
                                      <w:rPr>
                                        <w:rFonts w:ascii="Arial" w:eastAsia="Times New Roman" w:hAnsi="Arial" w:cs="Arial"/>
                                        <w:color w:val="414141"/>
                                        <w:sz w:val="18"/>
                                        <w:szCs w:val="18"/>
                                        <w:lang w:eastAsia="en-AU"/>
                                      </w:rPr>
                                      <w:t> [2013] WASC 356, [68]; </w:t>
                                    </w:r>
                                    <w:proofErr w:type="spellStart"/>
                                    <w:r w:rsidRPr="00EA443F">
                                      <w:rPr>
                                        <w:rFonts w:ascii="Arial" w:eastAsia="Times New Roman" w:hAnsi="Arial" w:cs="Arial"/>
                                        <w:i/>
                                        <w:iCs/>
                                        <w:color w:val="414141"/>
                                        <w:sz w:val="18"/>
                                        <w:szCs w:val="18"/>
                                        <w:lang w:eastAsia="en-AU"/>
                                      </w:rPr>
                                      <w:t>Macmahon</w:t>
                                    </w:r>
                                    <w:proofErr w:type="spellEnd"/>
                                    <w:r w:rsidRPr="00EA443F">
                                      <w:rPr>
                                        <w:rFonts w:ascii="Arial" w:eastAsia="Times New Roman" w:hAnsi="Arial" w:cs="Arial"/>
                                        <w:i/>
                                        <w:iCs/>
                                        <w:color w:val="414141"/>
                                        <w:sz w:val="18"/>
                                        <w:szCs w:val="18"/>
                                        <w:lang w:eastAsia="en-AU"/>
                                      </w:rPr>
                                      <w:t xml:space="preserve"> Mining Services v Cobar Management</w:t>
                                    </w:r>
                                    <w:r w:rsidRPr="00EA443F">
                                      <w:rPr>
                                        <w:rFonts w:ascii="Arial" w:eastAsia="Times New Roman" w:hAnsi="Arial" w:cs="Arial"/>
                                        <w:color w:val="414141"/>
                                        <w:sz w:val="18"/>
                                        <w:szCs w:val="18"/>
                                        <w:lang w:eastAsia="en-AU"/>
                                      </w:rPr>
                                      <w:t> [2014] NSWSC 731, [14]-[23]. </w:t>
                                    </w:r>
                                  </w:p>
                                  <w:bookmarkStart w:id="15" w:name="_ftn7"/>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18"/>
                                        <w:szCs w:val="18"/>
                                        <w:lang w:eastAsia="en-AU"/>
                                      </w:rPr>
                                      <w:fldChar w:fldCharType="begin"/>
                                    </w:r>
                                    <w:r w:rsidRPr="00EA443F">
                                      <w:rPr>
                                        <w:rFonts w:ascii="Arial" w:eastAsia="Times New Roman" w:hAnsi="Arial" w:cs="Arial"/>
                                        <w:color w:val="414141"/>
                                        <w:sz w:val="18"/>
                                        <w:szCs w:val="18"/>
                                        <w:lang w:eastAsia="en-AU"/>
                                      </w:rPr>
                                      <w:instrText xml:space="preserve"> HYPERLINK "http://us4.campaign-archive2.com/?u=d7ac35d590989fce96f6014e9&amp;id=f339fbc25c" \l "_ftnref7" \o "" </w:instrText>
                                    </w:r>
                                    <w:r w:rsidRPr="00EA443F">
                                      <w:rPr>
                                        <w:rFonts w:ascii="Arial" w:eastAsia="Times New Roman" w:hAnsi="Arial" w:cs="Arial"/>
                                        <w:color w:val="414141"/>
                                        <w:sz w:val="18"/>
                                        <w:szCs w:val="18"/>
                                        <w:lang w:eastAsia="en-AU"/>
                                      </w:rPr>
                                      <w:fldChar w:fldCharType="separate"/>
                                    </w:r>
                                    <w:r w:rsidRPr="00EA443F">
                                      <w:rPr>
                                        <w:rFonts w:ascii="Arial" w:eastAsia="Times New Roman" w:hAnsi="Arial" w:cs="Arial"/>
                                        <w:color w:val="2A3994"/>
                                        <w:sz w:val="18"/>
                                        <w:szCs w:val="18"/>
                                        <w:u w:val="single"/>
                                        <w:lang w:eastAsia="en-AU"/>
                                      </w:rPr>
                                      <w:t>[7]</w:t>
                                    </w:r>
                                    <w:r w:rsidRPr="00EA443F">
                                      <w:rPr>
                                        <w:rFonts w:ascii="Arial" w:eastAsia="Times New Roman" w:hAnsi="Arial" w:cs="Arial"/>
                                        <w:color w:val="414141"/>
                                        <w:sz w:val="18"/>
                                        <w:szCs w:val="18"/>
                                        <w:lang w:eastAsia="en-AU"/>
                                      </w:rPr>
                                      <w:fldChar w:fldCharType="end"/>
                                    </w:r>
                                    <w:bookmarkEnd w:id="15"/>
                                    <w:r w:rsidRPr="00EA443F">
                                      <w:rPr>
                                        <w:rFonts w:ascii="Arial" w:eastAsia="Times New Roman" w:hAnsi="Arial" w:cs="Arial"/>
                                        <w:color w:val="414141"/>
                                        <w:sz w:val="18"/>
                                        <w:szCs w:val="18"/>
                                        <w:lang w:eastAsia="en-AU"/>
                                      </w:rPr>
                                      <w:t xml:space="preserve"> See, </w:t>
                                    </w:r>
                                    <w:proofErr w:type="spellStart"/>
                                    <w:r w:rsidRPr="00EA443F">
                                      <w:rPr>
                                        <w:rFonts w:ascii="Arial" w:eastAsia="Times New Roman" w:hAnsi="Arial" w:cs="Arial"/>
                                        <w:color w:val="414141"/>
                                        <w:sz w:val="18"/>
                                        <w:szCs w:val="18"/>
                                        <w:lang w:eastAsia="en-AU"/>
                                      </w:rPr>
                                      <w:t>eg</w:t>
                                    </w:r>
                                    <w:proofErr w:type="spellEnd"/>
                                    <w:r w:rsidRPr="00EA443F">
                                      <w:rPr>
                                        <w:rFonts w:ascii="Arial" w:eastAsia="Times New Roman" w:hAnsi="Arial" w:cs="Arial"/>
                                        <w:color w:val="414141"/>
                                        <w:sz w:val="18"/>
                                        <w:szCs w:val="18"/>
                                        <w:lang w:eastAsia="en-AU"/>
                                      </w:rPr>
                                      <w:t>, </w:t>
                                    </w:r>
                                    <w:r w:rsidRPr="00EA443F">
                                      <w:rPr>
                                        <w:rFonts w:ascii="Arial" w:eastAsia="Times New Roman" w:hAnsi="Arial" w:cs="Arial"/>
                                        <w:i/>
                                        <w:iCs/>
                                        <w:color w:val="414141"/>
                                        <w:sz w:val="18"/>
                                        <w:szCs w:val="18"/>
                                        <w:lang w:eastAsia="en-AU"/>
                                      </w:rPr>
                                      <w:t xml:space="preserve">Transport (SA) P/L v </w:t>
                                    </w:r>
                                    <w:proofErr w:type="spellStart"/>
                                    <w:r w:rsidRPr="00EA443F">
                                      <w:rPr>
                                        <w:rFonts w:ascii="Arial" w:eastAsia="Times New Roman" w:hAnsi="Arial" w:cs="Arial"/>
                                        <w:i/>
                                        <w:iCs/>
                                        <w:color w:val="414141"/>
                                        <w:sz w:val="18"/>
                                        <w:szCs w:val="18"/>
                                        <w:lang w:eastAsia="en-AU"/>
                                      </w:rPr>
                                      <w:t>Cavill</w:t>
                                    </w:r>
                                    <w:proofErr w:type="spellEnd"/>
                                    <w:r w:rsidRPr="00EA443F">
                                      <w:rPr>
                                        <w:rFonts w:ascii="Arial" w:eastAsia="Times New Roman" w:hAnsi="Arial" w:cs="Arial"/>
                                        <w:i/>
                                        <w:iCs/>
                                        <w:color w:val="414141"/>
                                        <w:sz w:val="18"/>
                                        <w:szCs w:val="18"/>
                                        <w:lang w:eastAsia="en-AU"/>
                                      </w:rPr>
                                      <w:t xml:space="preserve"> Power Products P/L &amp; Anor</w:t>
                                    </w:r>
                                    <w:r w:rsidRPr="00EA443F">
                                      <w:rPr>
                                        <w:rFonts w:ascii="Arial" w:eastAsia="Times New Roman" w:hAnsi="Arial" w:cs="Arial"/>
                                        <w:color w:val="414141"/>
                                        <w:sz w:val="18"/>
                                        <w:szCs w:val="18"/>
                                        <w:lang w:eastAsia="en-AU"/>
                                      </w:rPr>
                                      <w:t> [2009] SADC 77.</w:t>
                                    </w:r>
                                  </w:p>
                                  <w:bookmarkStart w:id="16" w:name="_ftn8"/>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18"/>
                                        <w:szCs w:val="18"/>
                                        <w:lang w:eastAsia="en-AU"/>
                                      </w:rPr>
                                      <w:fldChar w:fldCharType="begin"/>
                                    </w:r>
                                    <w:r w:rsidRPr="00EA443F">
                                      <w:rPr>
                                        <w:rFonts w:ascii="Arial" w:eastAsia="Times New Roman" w:hAnsi="Arial" w:cs="Arial"/>
                                        <w:color w:val="414141"/>
                                        <w:sz w:val="18"/>
                                        <w:szCs w:val="18"/>
                                        <w:lang w:eastAsia="en-AU"/>
                                      </w:rPr>
                                      <w:instrText xml:space="preserve"> HYPERLINK "http://us4.campaign-archive2.com/?u=d7ac35d590989fce96f6014e9&amp;id=f339fbc25c" \l "_ftnref8" \o "" </w:instrText>
                                    </w:r>
                                    <w:r w:rsidRPr="00EA443F">
                                      <w:rPr>
                                        <w:rFonts w:ascii="Arial" w:eastAsia="Times New Roman" w:hAnsi="Arial" w:cs="Arial"/>
                                        <w:color w:val="414141"/>
                                        <w:sz w:val="18"/>
                                        <w:szCs w:val="18"/>
                                        <w:lang w:eastAsia="en-AU"/>
                                      </w:rPr>
                                      <w:fldChar w:fldCharType="separate"/>
                                    </w:r>
                                    <w:r w:rsidRPr="00EA443F">
                                      <w:rPr>
                                        <w:rFonts w:ascii="Arial" w:eastAsia="Times New Roman" w:hAnsi="Arial" w:cs="Arial"/>
                                        <w:color w:val="2A3994"/>
                                        <w:sz w:val="18"/>
                                        <w:szCs w:val="18"/>
                                        <w:u w:val="single"/>
                                        <w:lang w:eastAsia="en-AU"/>
                                      </w:rPr>
                                      <w:t>[8]</w:t>
                                    </w:r>
                                    <w:r w:rsidRPr="00EA443F">
                                      <w:rPr>
                                        <w:rFonts w:ascii="Arial" w:eastAsia="Times New Roman" w:hAnsi="Arial" w:cs="Arial"/>
                                        <w:color w:val="414141"/>
                                        <w:sz w:val="18"/>
                                        <w:szCs w:val="18"/>
                                        <w:lang w:eastAsia="en-AU"/>
                                      </w:rPr>
                                      <w:fldChar w:fldCharType="end"/>
                                    </w:r>
                                    <w:bookmarkEnd w:id="16"/>
                                    <w:r w:rsidRPr="00EA443F">
                                      <w:rPr>
                                        <w:rFonts w:ascii="Arial" w:eastAsia="Times New Roman" w:hAnsi="Arial" w:cs="Arial"/>
                                        <w:color w:val="414141"/>
                                        <w:sz w:val="18"/>
                                        <w:szCs w:val="18"/>
                                        <w:lang w:eastAsia="en-AU"/>
                                      </w:rPr>
                                      <w:t> </w:t>
                                    </w:r>
                                    <w:r w:rsidRPr="00EA443F">
                                      <w:rPr>
                                        <w:rFonts w:ascii="Arial" w:eastAsia="Times New Roman" w:hAnsi="Arial" w:cs="Arial"/>
                                        <w:i/>
                                        <w:iCs/>
                                        <w:color w:val="414141"/>
                                        <w:sz w:val="18"/>
                                        <w:szCs w:val="18"/>
                                        <w:lang w:eastAsia="en-AU"/>
                                      </w:rPr>
                                      <w:t>Regional Power Corporation v Pacific Hydro Group Two Pty Ltd [No 2]</w:t>
                                    </w:r>
                                    <w:r w:rsidRPr="00EA443F">
                                      <w:rPr>
                                        <w:rFonts w:ascii="Arial" w:eastAsia="Times New Roman" w:hAnsi="Arial" w:cs="Arial"/>
                                        <w:color w:val="414141"/>
                                        <w:sz w:val="18"/>
                                        <w:szCs w:val="18"/>
                                        <w:lang w:eastAsia="en-AU"/>
                                      </w:rPr>
                                      <w:t> [2013] WASC 356, [38].</w:t>
                                    </w:r>
                                  </w:p>
                                  <w:bookmarkStart w:id="17" w:name="_ftn9"/>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18"/>
                                        <w:szCs w:val="18"/>
                                        <w:lang w:eastAsia="en-AU"/>
                                      </w:rPr>
                                      <w:fldChar w:fldCharType="begin"/>
                                    </w:r>
                                    <w:r w:rsidRPr="00EA443F">
                                      <w:rPr>
                                        <w:rFonts w:ascii="Arial" w:eastAsia="Times New Roman" w:hAnsi="Arial" w:cs="Arial"/>
                                        <w:color w:val="414141"/>
                                        <w:sz w:val="18"/>
                                        <w:szCs w:val="18"/>
                                        <w:lang w:eastAsia="en-AU"/>
                                      </w:rPr>
                                      <w:instrText xml:space="preserve"> HYPERLINK "http://us4.campaign-archive2.com/?u=d7ac35d590989fce96f6014e9&amp;id=f339fbc25c" \l "_ftnref9" \o "" </w:instrText>
                                    </w:r>
                                    <w:r w:rsidRPr="00EA443F">
                                      <w:rPr>
                                        <w:rFonts w:ascii="Arial" w:eastAsia="Times New Roman" w:hAnsi="Arial" w:cs="Arial"/>
                                        <w:color w:val="414141"/>
                                        <w:sz w:val="18"/>
                                        <w:szCs w:val="18"/>
                                        <w:lang w:eastAsia="en-AU"/>
                                      </w:rPr>
                                      <w:fldChar w:fldCharType="separate"/>
                                    </w:r>
                                    <w:r w:rsidRPr="00EA443F">
                                      <w:rPr>
                                        <w:rFonts w:ascii="Arial" w:eastAsia="Times New Roman" w:hAnsi="Arial" w:cs="Arial"/>
                                        <w:color w:val="2A3994"/>
                                        <w:sz w:val="18"/>
                                        <w:szCs w:val="18"/>
                                        <w:u w:val="single"/>
                                        <w:lang w:eastAsia="en-AU"/>
                                      </w:rPr>
                                      <w:t>[9]</w:t>
                                    </w:r>
                                    <w:r w:rsidRPr="00EA443F">
                                      <w:rPr>
                                        <w:rFonts w:ascii="Arial" w:eastAsia="Times New Roman" w:hAnsi="Arial" w:cs="Arial"/>
                                        <w:color w:val="414141"/>
                                        <w:sz w:val="18"/>
                                        <w:szCs w:val="18"/>
                                        <w:lang w:eastAsia="en-AU"/>
                                      </w:rPr>
                                      <w:fldChar w:fldCharType="end"/>
                                    </w:r>
                                    <w:bookmarkEnd w:id="17"/>
                                    <w:r w:rsidRPr="00EA443F">
                                      <w:rPr>
                                        <w:rFonts w:ascii="Arial" w:eastAsia="Times New Roman" w:hAnsi="Arial" w:cs="Arial"/>
                                        <w:color w:val="414141"/>
                                        <w:sz w:val="18"/>
                                        <w:szCs w:val="18"/>
                                        <w:lang w:eastAsia="en-AU"/>
                                      </w:rPr>
                                      <w:t> Ibid.</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 </w:t>
                                    </w:r>
                                  </w:p>
                                  <w:p w:rsidR="00EA443F" w:rsidRPr="00EA443F" w:rsidRDefault="00EA443F" w:rsidP="00EA443F">
                                    <w:pPr>
                                      <w:spacing w:after="150" w:line="510" w:lineRule="atLeast"/>
                                      <w:outlineLvl w:val="0"/>
                                      <w:rPr>
                                        <w:rFonts w:ascii="Arial" w:eastAsia="Times New Roman" w:hAnsi="Arial" w:cs="Arial"/>
                                        <w:color w:val="2A3994"/>
                                        <w:kern w:val="36"/>
                                        <w:sz w:val="51"/>
                                        <w:szCs w:val="51"/>
                                        <w:lang w:eastAsia="en-AU"/>
                                      </w:rPr>
                                    </w:pPr>
                                    <w:r w:rsidRPr="00EA443F">
                                      <w:rPr>
                                        <w:rFonts w:ascii="Arial" w:eastAsia="Times New Roman" w:hAnsi="Arial" w:cs="Arial"/>
                                        <w:color w:val="2A3994"/>
                                        <w:kern w:val="36"/>
                                        <w:sz w:val="51"/>
                                        <w:szCs w:val="51"/>
                                        <w:lang w:eastAsia="en-AU"/>
                                      </w:rPr>
                                      <w:t>Employee spotlight</w:t>
                                    </w:r>
                                  </w:p>
                                  <w:p w:rsidR="00EA443F" w:rsidRPr="00EA443F" w:rsidRDefault="00EA443F" w:rsidP="00EA443F">
                                    <w:pPr>
                                      <w:spacing w:after="150" w:line="390" w:lineRule="atLeast"/>
                                      <w:outlineLvl w:val="2"/>
                                      <w:rPr>
                                        <w:rFonts w:ascii="Arial" w:eastAsia="Times New Roman" w:hAnsi="Arial" w:cs="Arial"/>
                                        <w:color w:val="2A3994"/>
                                        <w:sz w:val="39"/>
                                        <w:szCs w:val="39"/>
                                        <w:lang w:eastAsia="en-AU"/>
                                      </w:rPr>
                                    </w:pPr>
                                    <w:r w:rsidRPr="00EA443F">
                                      <w:rPr>
                                        <w:rFonts w:ascii="Arial" w:eastAsia="Times New Roman" w:hAnsi="Arial" w:cs="Arial"/>
                                        <w:color w:val="2A3994"/>
                                        <w:sz w:val="39"/>
                                        <w:szCs w:val="39"/>
                                        <w:lang w:eastAsia="en-AU"/>
                                      </w:rPr>
                                      <w:br/>
                                      <w:t>Esther Kim</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b/>
                                        <w:bCs/>
                                        <w:color w:val="414141"/>
                                        <w:sz w:val="21"/>
                                        <w:szCs w:val="21"/>
                                        <w:lang w:eastAsia="en-AU"/>
                                      </w:rPr>
                                      <w:t>Solicitor</w:t>
                                    </w:r>
                                  </w:p>
                                  <w:p w:rsidR="00EA443F" w:rsidRPr="00EA443F" w:rsidRDefault="00EA443F" w:rsidP="00EA443F">
                                    <w:pPr>
                                      <w:spacing w:after="0" w:line="315" w:lineRule="atLeast"/>
                                      <w:rPr>
                                        <w:rFonts w:ascii="Arial" w:eastAsia="Times New Roman" w:hAnsi="Arial" w:cs="Arial"/>
                                        <w:color w:val="414141"/>
                                        <w:sz w:val="21"/>
                                        <w:szCs w:val="21"/>
                                        <w:lang w:eastAsia="en-AU"/>
                                      </w:rPr>
                                    </w:pPr>
                                    <w:r>
                                      <w:rPr>
                                        <w:rFonts w:ascii="Arial" w:eastAsia="Times New Roman" w:hAnsi="Arial" w:cs="Arial"/>
                                        <w:noProof/>
                                        <w:color w:val="414141"/>
                                        <w:sz w:val="21"/>
                                        <w:szCs w:val="21"/>
                                        <w:lang w:eastAsia="en-AU"/>
                                      </w:rPr>
                                      <w:drawing>
                                        <wp:inline distT="0" distB="0" distL="0" distR="0">
                                          <wp:extent cx="3810000" cy="2847975"/>
                                          <wp:effectExtent l="0" t="0" r="0" b="9525"/>
                                          <wp:docPr id="2" name="Picture 2" descr="https://gallery.mailchimp.com/d7ac35d590989fce96f6014e9/images/ad456958-d0d4-400d-be4e-745e6567f1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d7ac35d590989fce96f6014e9/images/ad456958-d0d4-400d-be4e-745e6567f1e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r w:rsidRPr="00EA443F">
                                      <w:rPr>
                                        <w:rFonts w:ascii="Arial" w:eastAsia="Times New Roman" w:hAnsi="Arial" w:cs="Arial"/>
                                        <w:color w:val="414141"/>
                                        <w:sz w:val="21"/>
                                        <w:szCs w:val="21"/>
                                        <w:lang w:eastAsia="en-AU"/>
                                      </w:rPr>
                                      <w:br/>
                                      <w:t> </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color w:val="414141"/>
                                        <w:sz w:val="21"/>
                                        <w:szCs w:val="21"/>
                                        <w:lang w:eastAsia="en-AU"/>
                                      </w:rPr>
                                      <w:t>We recently said “goodbye” to Esther Kim after she relocated to South Korea. Esther began working for Clive Mills and Associates in October 2011 after completing a Bachelor of Law and Commerce at the University of Sydney.</w:t>
                                    </w:r>
                                    <w:r w:rsidRPr="00EA443F">
                                      <w:rPr>
                                        <w:rFonts w:ascii="Arial" w:eastAsia="Times New Roman" w:hAnsi="Arial" w:cs="Arial"/>
                                        <w:color w:val="414141"/>
                                        <w:sz w:val="21"/>
                                        <w:szCs w:val="21"/>
                                        <w:lang w:eastAsia="en-AU"/>
                                      </w:rPr>
                                      <w:br/>
                                      <w:t>Esther has a reputation for professionalism and efficiency in the areas of commercial and domestic conveyancing.</w:t>
                                    </w:r>
                                    <w:r w:rsidRPr="00EA443F">
                                      <w:rPr>
                                        <w:rFonts w:ascii="Arial" w:eastAsia="Times New Roman" w:hAnsi="Arial" w:cs="Arial"/>
                                        <w:color w:val="414141"/>
                                        <w:sz w:val="21"/>
                                        <w:szCs w:val="21"/>
                                        <w:lang w:eastAsia="en-AU"/>
                                      </w:rPr>
                                      <w:br/>
                                      <w:t>Esther will be greatly missed by her many clients and by all of her colleagues.</w:t>
                                    </w:r>
                                    <w:r w:rsidRPr="00EA443F">
                                      <w:rPr>
                                        <w:rFonts w:ascii="Arial" w:eastAsia="Times New Roman" w:hAnsi="Arial" w:cs="Arial"/>
                                        <w:color w:val="414141"/>
                                        <w:sz w:val="21"/>
                                        <w:szCs w:val="21"/>
                                        <w:lang w:eastAsia="en-AU"/>
                                      </w:rPr>
                                      <w:br/>
                                      <w:t>We all wish Esther and her husband, Jun, well for the future.</w:t>
                                    </w:r>
                                    <w:r w:rsidRPr="00EA443F">
                                      <w:rPr>
                                        <w:rFonts w:ascii="Arial" w:eastAsia="Times New Roman" w:hAnsi="Arial" w:cs="Arial"/>
                                        <w:color w:val="414141"/>
                                        <w:sz w:val="21"/>
                                        <w:szCs w:val="21"/>
                                        <w:lang w:eastAsia="en-AU"/>
                                      </w:rPr>
                                      <w:br/>
                                      <w:t> </w:t>
                                    </w:r>
                                  </w:p>
                                  <w:p w:rsidR="00EA443F" w:rsidRPr="00EA443F" w:rsidRDefault="00EA443F" w:rsidP="00EA443F">
                                    <w:pPr>
                                      <w:spacing w:after="150" w:line="510" w:lineRule="atLeast"/>
                                      <w:outlineLvl w:val="0"/>
                                      <w:rPr>
                                        <w:rFonts w:ascii="Arial" w:eastAsia="Times New Roman" w:hAnsi="Arial" w:cs="Arial"/>
                                        <w:color w:val="2A3994"/>
                                        <w:kern w:val="36"/>
                                        <w:sz w:val="51"/>
                                        <w:szCs w:val="51"/>
                                        <w:lang w:eastAsia="en-AU"/>
                                      </w:rPr>
                                    </w:pPr>
                                    <w:r w:rsidRPr="00EA443F">
                                      <w:rPr>
                                        <w:rFonts w:ascii="Arial" w:eastAsia="Times New Roman" w:hAnsi="Arial" w:cs="Arial"/>
                                        <w:color w:val="2A3994"/>
                                        <w:kern w:val="36"/>
                                        <w:sz w:val="51"/>
                                        <w:szCs w:val="51"/>
                                        <w:lang w:eastAsia="en-AU"/>
                                      </w:rPr>
                                      <w:t> </w:t>
                                    </w:r>
                                  </w:p>
                                  <w:p w:rsidR="00EA443F" w:rsidRPr="00EA443F" w:rsidRDefault="00EA443F" w:rsidP="00EA443F">
                                    <w:pPr>
                                      <w:spacing w:after="150" w:line="390" w:lineRule="atLeast"/>
                                      <w:outlineLvl w:val="2"/>
                                      <w:rPr>
                                        <w:rFonts w:ascii="Arial" w:eastAsia="Times New Roman" w:hAnsi="Arial" w:cs="Arial"/>
                                        <w:color w:val="2A3994"/>
                                        <w:sz w:val="39"/>
                                        <w:szCs w:val="39"/>
                                        <w:lang w:eastAsia="en-AU"/>
                                      </w:rPr>
                                    </w:pPr>
                                    <w:r w:rsidRPr="00EA443F">
                                      <w:rPr>
                                        <w:rFonts w:ascii="Arial" w:eastAsia="Times New Roman" w:hAnsi="Arial" w:cs="Arial"/>
                                        <w:color w:val="2A3994"/>
                                        <w:sz w:val="39"/>
                                        <w:szCs w:val="39"/>
                                        <w:lang w:eastAsia="en-AU"/>
                                      </w:rPr>
                                      <w:lastRenderedPageBreak/>
                                      <w:br/>
                                      <w:t>Ashley Rihak</w:t>
                                    </w:r>
                                  </w:p>
                                  <w:p w:rsidR="00EA443F" w:rsidRPr="00EA443F" w:rsidRDefault="00EA443F" w:rsidP="00EA443F">
                                    <w:pPr>
                                      <w:spacing w:after="0" w:line="315" w:lineRule="atLeast"/>
                                      <w:rPr>
                                        <w:rFonts w:ascii="Arial" w:eastAsia="Times New Roman" w:hAnsi="Arial" w:cs="Arial"/>
                                        <w:color w:val="414141"/>
                                        <w:sz w:val="21"/>
                                        <w:szCs w:val="21"/>
                                        <w:lang w:eastAsia="en-AU"/>
                                      </w:rPr>
                                    </w:pPr>
                                    <w:r w:rsidRPr="00EA443F">
                                      <w:rPr>
                                        <w:rFonts w:ascii="Arial" w:eastAsia="Times New Roman" w:hAnsi="Arial" w:cs="Arial"/>
                                        <w:b/>
                                        <w:bCs/>
                                        <w:color w:val="414141"/>
                                        <w:sz w:val="21"/>
                                        <w:szCs w:val="21"/>
                                        <w:lang w:eastAsia="en-AU"/>
                                      </w:rPr>
                                      <w:t>Solicitor</w:t>
                                    </w:r>
                                    <w:r w:rsidRPr="00EA443F">
                                      <w:rPr>
                                        <w:rFonts w:ascii="Arial" w:eastAsia="Times New Roman" w:hAnsi="Arial" w:cs="Arial"/>
                                        <w:color w:val="414141"/>
                                        <w:sz w:val="21"/>
                                        <w:szCs w:val="21"/>
                                        <w:lang w:eastAsia="en-AU"/>
                                      </w:rPr>
                                      <w:br/>
                                    </w:r>
                                    <w:r>
                                      <w:rPr>
                                        <w:rFonts w:ascii="Arial" w:eastAsia="Times New Roman" w:hAnsi="Arial" w:cs="Arial"/>
                                        <w:noProof/>
                                        <w:color w:val="414141"/>
                                        <w:sz w:val="21"/>
                                        <w:szCs w:val="21"/>
                                        <w:lang w:eastAsia="en-AU"/>
                                      </w:rPr>
                                      <w:drawing>
                                        <wp:inline distT="0" distB="0" distL="0" distR="0">
                                          <wp:extent cx="2028825" cy="2847975"/>
                                          <wp:effectExtent l="0" t="0" r="9525" b="9525"/>
                                          <wp:docPr id="1" name="Picture 1" descr="https://gallery.mailchimp.com/d7ac35d590989fce96f6014e9/images/803a40e1-a294-462b-ad69-84fcf254c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d7ac35d590989fce96f6014e9/images/803a40e1-a294-462b-ad69-84fcf254c5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2847975"/>
                                                  </a:xfrm>
                                                  <a:prstGeom prst="rect">
                                                    <a:avLst/>
                                                  </a:prstGeom>
                                                  <a:noFill/>
                                                  <a:ln>
                                                    <a:noFill/>
                                                  </a:ln>
                                                </pic:spPr>
                                              </pic:pic>
                                            </a:graphicData>
                                          </a:graphic>
                                        </wp:inline>
                                      </w:drawing>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We’d like to congratulate our newly practising solicitor Ashley Rihak on being admitted as a lawyer of the Supreme Court of NSW on the 9</w:t>
                                    </w:r>
                                    <w:r w:rsidRPr="00EA443F">
                                      <w:rPr>
                                        <w:rFonts w:ascii="Arial" w:eastAsia="Times New Roman" w:hAnsi="Arial" w:cs="Arial"/>
                                        <w:color w:val="414141"/>
                                        <w:sz w:val="21"/>
                                        <w:szCs w:val="21"/>
                                        <w:vertAlign w:val="superscript"/>
                                        <w:lang w:eastAsia="en-AU"/>
                                      </w:rPr>
                                      <w:t>th</w:t>
                                    </w:r>
                                    <w:r w:rsidRPr="00EA443F">
                                      <w:rPr>
                                        <w:rFonts w:ascii="Arial" w:eastAsia="Times New Roman" w:hAnsi="Arial" w:cs="Arial"/>
                                        <w:color w:val="414141"/>
                                        <w:sz w:val="21"/>
                                        <w:szCs w:val="21"/>
                                        <w:lang w:eastAsia="en-AU"/>
                                      </w:rPr>
                                      <w:t> of October, 2015. Ashley was granted his practising certificate by the Law Society of NSW on the 29</w:t>
                                    </w:r>
                                    <w:r w:rsidRPr="00EA443F">
                                      <w:rPr>
                                        <w:rFonts w:ascii="Arial" w:eastAsia="Times New Roman" w:hAnsi="Arial" w:cs="Arial"/>
                                        <w:color w:val="414141"/>
                                        <w:sz w:val="21"/>
                                        <w:szCs w:val="21"/>
                                        <w:vertAlign w:val="superscript"/>
                                        <w:lang w:eastAsia="en-AU"/>
                                      </w:rPr>
                                      <w:t>th</w:t>
                                    </w:r>
                                    <w:r w:rsidRPr="00EA443F">
                                      <w:rPr>
                                        <w:rFonts w:ascii="Arial" w:eastAsia="Times New Roman" w:hAnsi="Arial" w:cs="Arial"/>
                                        <w:color w:val="414141"/>
                                        <w:sz w:val="21"/>
                                        <w:szCs w:val="21"/>
                                        <w:lang w:eastAsia="en-AU"/>
                                      </w:rPr>
                                      <w:t> of October, 2015. He received a Bachelor of Laws with Honours and a Bachelor of Arts from the University of Tasmania in 2014. </w:t>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r>
                                    <w:r w:rsidRPr="00EA443F">
                                      <w:rPr>
                                        <w:rFonts w:ascii="Arial" w:eastAsia="Times New Roman" w:hAnsi="Arial" w:cs="Arial"/>
                                        <w:color w:val="414141"/>
                                        <w:sz w:val="21"/>
                                        <w:szCs w:val="21"/>
                                        <w:lang w:eastAsia="en-AU"/>
                                      </w:rPr>
                                      <w:br/>
                                      <w:t>                   </w:t>
                                    </w:r>
                                  </w:p>
                                </w:tc>
                              </w:tr>
                            </w:tbl>
                            <w:p w:rsidR="00EA443F" w:rsidRPr="00EA443F" w:rsidRDefault="00EA443F" w:rsidP="00EA443F">
                              <w:pPr>
                                <w:spacing w:after="0" w:line="240" w:lineRule="auto"/>
                                <w:rPr>
                                  <w:rFonts w:ascii="Times New Roman" w:eastAsia="Times New Roman" w:hAnsi="Times New Roman" w:cs="Times New Roman"/>
                                  <w:sz w:val="24"/>
                                  <w:szCs w:val="24"/>
                                  <w:lang w:eastAsia="en-AU"/>
                                </w:rPr>
                              </w:pPr>
                            </w:p>
                          </w:tc>
                        </w:tr>
                      </w:tbl>
                      <w:p w:rsidR="00EA443F" w:rsidRPr="00EA443F" w:rsidRDefault="00EA443F" w:rsidP="00EA443F">
                        <w:pPr>
                          <w:spacing w:after="0" w:line="240" w:lineRule="auto"/>
                          <w:rPr>
                            <w:rFonts w:ascii="Times New Roman" w:eastAsia="Times New Roman" w:hAnsi="Times New Roman" w:cs="Times New Roman"/>
                            <w:sz w:val="24"/>
                            <w:szCs w:val="24"/>
                            <w:lang w:eastAsia="en-AU"/>
                          </w:rPr>
                        </w:pPr>
                      </w:p>
                    </w:tc>
                  </w:tr>
                </w:tbl>
                <w:p w:rsidR="00EA443F" w:rsidRPr="00EA443F" w:rsidRDefault="00EA443F" w:rsidP="00EA443F">
                  <w:pPr>
                    <w:spacing w:after="0" w:line="240" w:lineRule="auto"/>
                    <w:jc w:val="center"/>
                    <w:rPr>
                      <w:rFonts w:ascii="Times New Roman" w:eastAsia="Times New Roman" w:hAnsi="Times New Roman" w:cs="Times New Roman"/>
                      <w:sz w:val="24"/>
                      <w:szCs w:val="24"/>
                      <w:lang w:eastAsia="en-AU"/>
                    </w:rPr>
                  </w:pPr>
                </w:p>
              </w:tc>
            </w:tr>
          </w:tbl>
          <w:p w:rsidR="00EA443F" w:rsidRPr="00EA443F" w:rsidRDefault="00EA443F" w:rsidP="00EA443F">
            <w:pPr>
              <w:spacing w:after="0" w:line="240" w:lineRule="auto"/>
              <w:jc w:val="center"/>
              <w:rPr>
                <w:rFonts w:ascii="Times New Roman" w:eastAsia="Times New Roman" w:hAnsi="Times New Roman" w:cs="Times New Roman"/>
                <w:color w:val="000000"/>
                <w:sz w:val="27"/>
                <w:szCs w:val="27"/>
                <w:lang w:eastAsia="en-AU"/>
              </w:rPr>
            </w:pPr>
          </w:p>
        </w:tc>
      </w:tr>
    </w:tbl>
    <w:p w:rsidR="0082628F" w:rsidRDefault="0082628F">
      <w:bookmarkStart w:id="18" w:name="_GoBack"/>
      <w:bookmarkEnd w:id="18"/>
    </w:p>
    <w:sectPr w:rsidR="008262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7B68"/>
    <w:multiLevelType w:val="multilevel"/>
    <w:tmpl w:val="10DE9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2F41A2"/>
    <w:multiLevelType w:val="multilevel"/>
    <w:tmpl w:val="26BC5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CD461A"/>
    <w:multiLevelType w:val="multilevel"/>
    <w:tmpl w:val="1480F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4E67F4"/>
    <w:multiLevelType w:val="multilevel"/>
    <w:tmpl w:val="97FC4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114F8D"/>
    <w:multiLevelType w:val="multilevel"/>
    <w:tmpl w:val="4596E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A7640A"/>
    <w:multiLevelType w:val="multilevel"/>
    <w:tmpl w:val="242AD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FD2D35"/>
    <w:multiLevelType w:val="multilevel"/>
    <w:tmpl w:val="21B8DE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2530684F"/>
    <w:multiLevelType w:val="multilevel"/>
    <w:tmpl w:val="CAD6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6A3C0C"/>
    <w:multiLevelType w:val="multilevel"/>
    <w:tmpl w:val="D2942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314AE3"/>
    <w:multiLevelType w:val="multilevel"/>
    <w:tmpl w:val="6AF24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6267C34"/>
    <w:multiLevelType w:val="multilevel"/>
    <w:tmpl w:val="6E0A1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49D7519"/>
    <w:multiLevelType w:val="multilevel"/>
    <w:tmpl w:val="0FEC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2780B0B"/>
    <w:multiLevelType w:val="multilevel"/>
    <w:tmpl w:val="9C9EDD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70582297"/>
    <w:multiLevelType w:val="multilevel"/>
    <w:tmpl w:val="4330F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4EA00A1"/>
    <w:multiLevelType w:val="multilevel"/>
    <w:tmpl w:val="98D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lvlOverride w:ilvl="0">
      <w:startOverride w:val="2"/>
    </w:lvlOverride>
  </w:num>
  <w:num w:numId="3">
    <w:abstractNumId w:val="5"/>
  </w:num>
  <w:num w:numId="4">
    <w:abstractNumId w:val="2"/>
    <w:lvlOverride w:ilvl="0">
      <w:startOverride w:val="2"/>
    </w:lvlOverride>
  </w:num>
  <w:num w:numId="5">
    <w:abstractNumId w:val="3"/>
    <w:lvlOverride w:ilvl="0">
      <w:startOverride w:val="3"/>
    </w:lvlOverride>
  </w:num>
  <w:num w:numId="6">
    <w:abstractNumId w:val="14"/>
    <w:lvlOverride w:ilvl="0">
      <w:startOverride w:val="4"/>
    </w:lvlOverride>
  </w:num>
  <w:num w:numId="7">
    <w:abstractNumId w:val="6"/>
  </w:num>
  <w:num w:numId="8">
    <w:abstractNumId w:val="12"/>
    <w:lvlOverride w:ilvl="0">
      <w:startOverride w:val="2"/>
    </w:lvlOverride>
  </w:num>
  <w:num w:numId="9">
    <w:abstractNumId w:val="11"/>
  </w:num>
  <w:num w:numId="10">
    <w:abstractNumId w:val="4"/>
    <w:lvlOverride w:ilvl="0">
      <w:startOverride w:val="2"/>
    </w:lvlOverride>
  </w:num>
  <w:num w:numId="11">
    <w:abstractNumId w:val="1"/>
    <w:lvlOverride w:ilvl="0">
      <w:startOverride w:val="3"/>
    </w:lvlOverride>
  </w:num>
  <w:num w:numId="12">
    <w:abstractNumId w:val="10"/>
  </w:num>
  <w:num w:numId="13">
    <w:abstractNumId w:val="9"/>
    <w:lvlOverride w:ilvl="0">
      <w:startOverride w:val="2"/>
    </w:lvlOverride>
  </w:num>
  <w:num w:numId="14">
    <w:abstractNumId w:val="8"/>
    <w:lvlOverride w:ilvl="0">
      <w:startOverride w:val="3"/>
    </w:lvlOverride>
  </w:num>
  <w:num w:numId="15">
    <w:abstractNumId w:val="7"/>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43F"/>
    <w:rsid w:val="0082628F"/>
    <w:rsid w:val="00EA4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D0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A44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3">
    <w:name w:val="heading 3"/>
    <w:basedOn w:val="Normal"/>
    <w:link w:val="Heading3Char"/>
    <w:uiPriority w:val="9"/>
    <w:qFormat/>
    <w:rsid w:val="00EA443F"/>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43F"/>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EA443F"/>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EA443F"/>
    <w:rPr>
      <w:b/>
      <w:bCs/>
    </w:rPr>
  </w:style>
  <w:style w:type="character" w:styleId="Emphasis">
    <w:name w:val="Emphasis"/>
    <w:basedOn w:val="DefaultParagraphFont"/>
    <w:uiPriority w:val="20"/>
    <w:qFormat/>
    <w:rsid w:val="00EA443F"/>
    <w:rPr>
      <w:i/>
      <w:iCs/>
    </w:rPr>
  </w:style>
  <w:style w:type="character" w:styleId="Hyperlink">
    <w:name w:val="Hyperlink"/>
    <w:basedOn w:val="DefaultParagraphFont"/>
    <w:uiPriority w:val="99"/>
    <w:semiHidden/>
    <w:unhideWhenUsed/>
    <w:rsid w:val="00EA443F"/>
    <w:rPr>
      <w:color w:val="0000FF"/>
      <w:u w:val="single"/>
    </w:rPr>
  </w:style>
  <w:style w:type="character" w:customStyle="1" w:styleId="apple-converted-space">
    <w:name w:val="apple-converted-space"/>
    <w:basedOn w:val="DefaultParagraphFont"/>
    <w:rsid w:val="00EA443F"/>
  </w:style>
  <w:style w:type="paragraph" w:styleId="BalloonText">
    <w:name w:val="Balloon Text"/>
    <w:basedOn w:val="Normal"/>
    <w:link w:val="BalloonTextChar"/>
    <w:uiPriority w:val="99"/>
    <w:semiHidden/>
    <w:unhideWhenUsed/>
    <w:rsid w:val="00EA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4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A44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3">
    <w:name w:val="heading 3"/>
    <w:basedOn w:val="Normal"/>
    <w:link w:val="Heading3Char"/>
    <w:uiPriority w:val="9"/>
    <w:qFormat/>
    <w:rsid w:val="00EA443F"/>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43F"/>
    <w:rPr>
      <w:rFonts w:ascii="Times New Roman" w:eastAsia="Times New Roman" w:hAnsi="Times New Roman" w:cs="Times New Roman"/>
      <w:b/>
      <w:bCs/>
      <w:kern w:val="36"/>
      <w:sz w:val="48"/>
      <w:szCs w:val="48"/>
      <w:lang w:eastAsia="en-AU"/>
    </w:rPr>
  </w:style>
  <w:style w:type="character" w:customStyle="1" w:styleId="Heading3Char">
    <w:name w:val="Heading 3 Char"/>
    <w:basedOn w:val="DefaultParagraphFont"/>
    <w:link w:val="Heading3"/>
    <w:uiPriority w:val="9"/>
    <w:rsid w:val="00EA443F"/>
    <w:rPr>
      <w:rFonts w:ascii="Times New Roman" w:eastAsia="Times New Roman" w:hAnsi="Times New Roman" w:cs="Times New Roman"/>
      <w:b/>
      <w:bCs/>
      <w:sz w:val="27"/>
      <w:szCs w:val="27"/>
      <w:lang w:eastAsia="en-AU"/>
    </w:rPr>
  </w:style>
  <w:style w:type="character" w:styleId="Strong">
    <w:name w:val="Strong"/>
    <w:basedOn w:val="DefaultParagraphFont"/>
    <w:uiPriority w:val="22"/>
    <w:qFormat/>
    <w:rsid w:val="00EA443F"/>
    <w:rPr>
      <w:b/>
      <w:bCs/>
    </w:rPr>
  </w:style>
  <w:style w:type="character" w:styleId="Emphasis">
    <w:name w:val="Emphasis"/>
    <w:basedOn w:val="DefaultParagraphFont"/>
    <w:uiPriority w:val="20"/>
    <w:qFormat/>
    <w:rsid w:val="00EA443F"/>
    <w:rPr>
      <w:i/>
      <w:iCs/>
    </w:rPr>
  </w:style>
  <w:style w:type="character" w:styleId="Hyperlink">
    <w:name w:val="Hyperlink"/>
    <w:basedOn w:val="DefaultParagraphFont"/>
    <w:uiPriority w:val="99"/>
    <w:semiHidden/>
    <w:unhideWhenUsed/>
    <w:rsid w:val="00EA443F"/>
    <w:rPr>
      <w:color w:val="0000FF"/>
      <w:u w:val="single"/>
    </w:rPr>
  </w:style>
  <w:style w:type="character" w:customStyle="1" w:styleId="apple-converted-space">
    <w:name w:val="apple-converted-space"/>
    <w:basedOn w:val="DefaultParagraphFont"/>
    <w:rsid w:val="00EA443F"/>
  </w:style>
  <w:style w:type="paragraph" w:styleId="BalloonText">
    <w:name w:val="Balloon Text"/>
    <w:basedOn w:val="Normal"/>
    <w:link w:val="BalloonTextChar"/>
    <w:uiPriority w:val="99"/>
    <w:semiHidden/>
    <w:unhideWhenUsed/>
    <w:rsid w:val="00EA4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4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88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s.gov.au/AUSSTATS/abs@.nsf/second+level+view?ReadForm&amp;prodno=6416.0&amp;viewtitle=Residential%20Property%20Price%20Indexes:%20Eight%20Capital%20Cities~Mar%202015~Latest~23/06/2015&amp;&amp;tabname=Past%20Future%20Issues&amp;prodno=6416.0&amp;issue=Mar%202015&amp;num=&amp;view=&amp;"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http://us4.campaign-archive2.com/?u=d7ac35d590989fce96f6014e9&amp;id=f339fbc25c"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2869</Words>
  <Characters>16355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Para Legal1</dc:creator>
  <cp:lastModifiedBy>Para Legal1</cp:lastModifiedBy>
  <cp:revision>1</cp:revision>
  <dcterms:created xsi:type="dcterms:W3CDTF">2016-08-23T01:21:00Z</dcterms:created>
  <dcterms:modified xsi:type="dcterms:W3CDTF">2016-08-23T01:22:00Z</dcterms:modified>
</cp:coreProperties>
</file>