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042"/>
      </w:tblGrid>
      <w:tr w:rsidR="00B76250" w:rsidRPr="00B76250" w:rsidTr="00B76250">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76250" w:rsidRPr="00B76250">
              <w:trPr>
                <w:jc w:val="center"/>
              </w:trPr>
              <w:tc>
                <w:tcPr>
                  <w:tcW w:w="0" w:type="auto"/>
                  <w:shd w:val="clear" w:color="auto" w:fill="FFFFFF"/>
                  <w:vAlign w:val="center"/>
                  <w:hideMark/>
                </w:tcPr>
                <w:p w:rsidR="00B76250" w:rsidRPr="00B76250" w:rsidRDefault="00B76250" w:rsidP="00B76250">
                  <w:pPr>
                    <w:spacing w:after="0" w:line="510" w:lineRule="atLeast"/>
                    <w:jc w:val="center"/>
                    <w:rPr>
                      <w:rFonts w:ascii="Arial" w:eastAsia="Times New Roman" w:hAnsi="Arial" w:cs="Arial"/>
                      <w:b/>
                      <w:bCs/>
                      <w:color w:val="202020"/>
                      <w:sz w:val="51"/>
                      <w:szCs w:val="51"/>
                      <w:lang w:eastAsia="en-AU"/>
                    </w:rPr>
                  </w:pPr>
                  <w:r>
                    <w:rPr>
                      <w:rFonts w:ascii="Arial" w:eastAsia="Times New Roman" w:hAnsi="Arial" w:cs="Arial"/>
                      <w:b/>
                      <w:bCs/>
                      <w:noProof/>
                      <w:color w:val="202020"/>
                      <w:sz w:val="51"/>
                      <w:szCs w:val="51"/>
                      <w:lang w:eastAsia="en-AU"/>
                    </w:rPr>
                    <w:drawing>
                      <wp:inline distT="0" distB="0" distL="0" distR="0">
                        <wp:extent cx="5715000" cy="2581275"/>
                        <wp:effectExtent l="0" t="0" r="0" b="9525"/>
                        <wp:docPr id="10" name="Picture 10" descr="https://gallery.mailchimp.com/d7ac35d590989fce96f6014e9/images/bed454f5-374e-46e6-a733-ff8ea4318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7ac35d590989fce96f6014e9/images/bed454f5-374e-46e6-a733-ff8ea431817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581275"/>
                                </a:xfrm>
                                <a:prstGeom prst="rect">
                                  <a:avLst/>
                                </a:prstGeom>
                                <a:noFill/>
                                <a:ln>
                                  <a:noFill/>
                                </a:ln>
                              </pic:spPr>
                            </pic:pic>
                          </a:graphicData>
                        </a:graphic>
                      </wp:inline>
                    </w:drawing>
                  </w:r>
                </w:p>
              </w:tc>
            </w:tr>
          </w:tbl>
          <w:p w:rsidR="00B76250" w:rsidRPr="00B76250" w:rsidRDefault="00B76250" w:rsidP="00B76250">
            <w:pPr>
              <w:spacing w:after="0" w:line="240" w:lineRule="auto"/>
              <w:jc w:val="center"/>
              <w:rPr>
                <w:rFonts w:ascii="Times New Roman" w:eastAsia="Times New Roman" w:hAnsi="Times New Roman" w:cs="Times New Roman"/>
                <w:color w:val="000000"/>
                <w:sz w:val="27"/>
                <w:szCs w:val="27"/>
                <w:lang w:eastAsia="en-AU"/>
              </w:rPr>
            </w:pPr>
          </w:p>
        </w:tc>
      </w:tr>
      <w:tr w:rsidR="00B76250" w:rsidRPr="00B76250" w:rsidTr="00B76250">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7"/>
            </w:tblGrid>
            <w:tr w:rsidR="00B76250" w:rsidRPr="00B7625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27"/>
                  </w:tblGrid>
                  <w:tr w:rsidR="00B76250" w:rsidRPr="00B76250">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9027"/>
                        </w:tblGrid>
                        <w:tr w:rsidR="00B76250" w:rsidRPr="00B76250">
                          <w:tc>
                            <w:tcPr>
                              <w:tcW w:w="0" w:type="auto"/>
                              <w:hideMark/>
                            </w:tcPr>
                            <w:p w:rsidR="00B76250" w:rsidRPr="00B76250" w:rsidRDefault="00B76250" w:rsidP="00B76250">
                              <w:pPr>
                                <w:spacing w:after="150" w:line="510" w:lineRule="atLeast"/>
                                <w:outlineLvl w:val="0"/>
                                <w:rPr>
                                  <w:rFonts w:ascii="Arial" w:eastAsia="Times New Roman" w:hAnsi="Arial" w:cs="Arial"/>
                                  <w:color w:val="2A3994"/>
                                  <w:kern w:val="36"/>
                                  <w:sz w:val="51"/>
                                  <w:szCs w:val="51"/>
                                  <w:lang w:eastAsia="en-AU"/>
                                </w:rPr>
                              </w:pPr>
                              <w:r w:rsidRPr="00B76250">
                                <w:rPr>
                                  <w:rFonts w:ascii="Arial" w:eastAsia="Times New Roman" w:hAnsi="Arial" w:cs="Arial"/>
                                  <w:color w:val="2A3994"/>
                                  <w:kern w:val="36"/>
                                  <w:sz w:val="51"/>
                                  <w:szCs w:val="51"/>
                                  <w:lang w:eastAsia="en-AU"/>
                                </w:rPr>
                                <w:t>September Newsletter</w:t>
                              </w:r>
                            </w:p>
                            <w:p w:rsidR="00B76250" w:rsidRPr="00B76250" w:rsidRDefault="00B76250" w:rsidP="00B76250">
                              <w:pPr>
                                <w:spacing w:after="0" w:line="315" w:lineRule="atLeast"/>
                                <w:jc w:val="center"/>
                                <w:rPr>
                                  <w:rFonts w:ascii="Arial" w:eastAsia="Times New Roman" w:hAnsi="Arial" w:cs="Arial"/>
                                  <w:color w:val="414141"/>
                                  <w:sz w:val="21"/>
                                  <w:szCs w:val="21"/>
                                  <w:lang w:eastAsia="en-AU"/>
                                </w:rPr>
                              </w:pPr>
                              <w:r>
                                <w:rPr>
                                  <w:rFonts w:ascii="Arial" w:eastAsia="Times New Roman" w:hAnsi="Arial" w:cs="Arial"/>
                                  <w:noProof/>
                                  <w:color w:val="414141"/>
                                  <w:sz w:val="21"/>
                                  <w:szCs w:val="21"/>
                                  <w:lang w:eastAsia="en-AU"/>
                                </w:rPr>
                                <w:drawing>
                                  <wp:inline distT="0" distB="0" distL="0" distR="0">
                                    <wp:extent cx="5334000" cy="3552825"/>
                                    <wp:effectExtent l="0" t="0" r="0" b="9525"/>
                                    <wp:docPr id="9" name="Picture 9" descr="https://gallery.mailchimp.com/d7ac35d590989fce96f6014e9/images/dd9e69be-b4e7-49b5-b40f-601e5e44a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7ac35d590989fce96f6014e9/images/dd9e69be-b4e7-49b5-b40f-601e5e44a24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7"/>
                                  <w:szCs w:val="27"/>
                                  <w:u w:val="single"/>
                                  <w:lang w:eastAsia="en-AU"/>
                                </w:rPr>
                                <w:t>Grantor’s Remorse?: “Tell ‘em they’re dreaming!”</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The disappearance of the type of freestanding house on a quarter acre block depicted in </w:t>
                              </w:r>
                              <w:r w:rsidRPr="00B76250">
                                <w:rPr>
                                  <w:rFonts w:ascii="Arial" w:eastAsia="Times New Roman" w:hAnsi="Arial" w:cs="Arial"/>
                                  <w:i/>
                                  <w:iCs/>
                                  <w:color w:val="414141"/>
                                  <w:sz w:val="21"/>
                                  <w:szCs w:val="21"/>
                                  <w:lang w:eastAsia="en-AU"/>
                                </w:rPr>
                                <w:t>The Castle </w:t>
                              </w:r>
                              <w:r w:rsidRPr="00B76250">
                                <w:rPr>
                                  <w:rFonts w:ascii="Arial" w:eastAsia="Times New Roman" w:hAnsi="Arial" w:cs="Arial"/>
                                  <w:color w:val="414141"/>
                                  <w:sz w:val="21"/>
                                  <w:szCs w:val="21"/>
                                  <w:lang w:eastAsia="en-AU"/>
                                </w:rPr>
                                <w:t>and cranes dotting the radically changing Sydney skyline will be familiar to most Sydneysiders.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Here in St Leonards (or </w:t>
                              </w:r>
                              <w:r w:rsidRPr="00B76250">
                                <w:rPr>
                                  <w:rFonts w:ascii="Arial" w:eastAsia="Times New Roman" w:hAnsi="Arial" w:cs="Arial"/>
                                  <w:i/>
                                  <w:iCs/>
                                  <w:color w:val="414141"/>
                                  <w:sz w:val="21"/>
                                  <w:szCs w:val="21"/>
                                  <w:lang w:eastAsia="en-AU"/>
                                </w:rPr>
                                <w:t>“Little Manhattan”</w:t>
                              </w:r>
                              <w:r w:rsidRPr="00B76250">
                                <w:rPr>
                                  <w:rFonts w:ascii="Arial" w:eastAsia="Times New Roman" w:hAnsi="Arial" w:cs="Arial"/>
                                  <w:color w:val="414141"/>
                                  <w:sz w:val="21"/>
                                  <w:szCs w:val="21"/>
                                  <w:lang w:eastAsia="en-AU"/>
                                </w:rPr>
                                <w:t xml:space="preserve"> as it is becoming known), office buildings of 4 </w:t>
                              </w:r>
                              <w:r w:rsidRPr="00B76250">
                                <w:rPr>
                                  <w:rFonts w:ascii="Arial" w:eastAsia="Times New Roman" w:hAnsi="Arial" w:cs="Arial"/>
                                  <w:color w:val="414141"/>
                                  <w:sz w:val="21"/>
                                  <w:szCs w:val="21"/>
                                  <w:lang w:eastAsia="en-AU"/>
                                </w:rPr>
                                <w:lastRenderedPageBreak/>
                                <w:t>storeys or less are disappearing and being replaced by towering mixed commercial and residential buildings of between 11 and 20 plus storeys with very little parking.</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For most of us, the resultant loss of sunlight filtering through to us at ground level and the inability to find a parking space appear to be the price we collectively pay for progress.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But:</w:t>
                              </w:r>
                              <w:r w:rsidRPr="00B76250">
                                <w:rPr>
                                  <w:rFonts w:ascii="Arial" w:eastAsia="Times New Roman" w:hAnsi="Arial" w:cs="Arial"/>
                                  <w:color w:val="414141"/>
                                  <w:sz w:val="21"/>
                                  <w:szCs w:val="21"/>
                                  <w:lang w:eastAsia="en-AU"/>
                                </w:rPr>
                                <w:br/>
                                <w:t> </w:t>
                              </w:r>
                            </w:p>
                            <w:p w:rsidR="00B76250" w:rsidRPr="00B76250" w:rsidRDefault="00B76250" w:rsidP="00B76250">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what does this mean to those who sell their castle to developers?</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 </w:t>
                              </w:r>
                            </w:p>
                            <w:p w:rsidR="00B76250" w:rsidRPr="00B76250" w:rsidRDefault="00B76250" w:rsidP="00B76250">
                              <w:pPr>
                                <w:numPr>
                                  <w:ilvl w:val="0"/>
                                  <w:numId w:val="2"/>
                                </w:numPr>
                                <w:spacing w:before="100" w:beforeAutospacing="1" w:after="100" w:afterAutospacing="1"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how does the process work?</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 </w:t>
                              </w:r>
                            </w:p>
                            <w:p w:rsidR="00B76250" w:rsidRPr="00B76250" w:rsidRDefault="00B76250" w:rsidP="00B76250">
                              <w:pPr>
                                <w:numPr>
                                  <w:ilvl w:val="0"/>
                                  <w:numId w:val="3"/>
                                </w:numPr>
                                <w:spacing w:before="100" w:beforeAutospacing="1" w:after="100" w:afterAutospacing="1"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what is the relevant law? and</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 </w:t>
                              </w:r>
                            </w:p>
                            <w:p w:rsidR="00B76250" w:rsidRPr="00B76250" w:rsidRDefault="00B76250" w:rsidP="00B76250">
                              <w:pPr>
                                <w:numPr>
                                  <w:ilvl w:val="0"/>
                                  <w:numId w:val="4"/>
                                </w:numPr>
                                <w:spacing w:before="100" w:beforeAutospacing="1" w:after="100" w:afterAutospacing="1"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is everyone a winner?</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The Process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Developers approach owners who, unlike Michael Caton and his family, </w:t>
                              </w:r>
                              <w:r w:rsidRPr="00B76250">
                                <w:rPr>
                                  <w:rFonts w:ascii="Arial" w:eastAsia="Times New Roman" w:hAnsi="Arial" w:cs="Arial"/>
                                  <w:i/>
                                  <w:iCs/>
                                  <w:color w:val="414141"/>
                                  <w:sz w:val="21"/>
                                  <w:szCs w:val="21"/>
                                  <w:lang w:eastAsia="en-AU"/>
                                </w:rPr>
                                <w:t>the Kerrigans</w:t>
                              </w:r>
                              <w:r w:rsidRPr="00B76250">
                                <w:rPr>
                                  <w:rFonts w:ascii="Arial" w:eastAsia="Times New Roman" w:hAnsi="Arial" w:cs="Arial"/>
                                  <w:color w:val="414141"/>
                                  <w:sz w:val="21"/>
                                  <w:szCs w:val="21"/>
                                  <w:lang w:eastAsia="en-AU"/>
                                </w:rPr>
                                <w:t>, in The Castle, are often keen to sell when what appears to be an excellent price is offered.</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It often seems to the owners that, if anyone is “</w:t>
                              </w:r>
                              <w:r w:rsidRPr="00B76250">
                                <w:rPr>
                                  <w:rFonts w:ascii="Arial" w:eastAsia="Times New Roman" w:hAnsi="Arial" w:cs="Arial"/>
                                  <w:i/>
                                  <w:iCs/>
                                  <w:color w:val="414141"/>
                                  <w:sz w:val="21"/>
                                  <w:szCs w:val="21"/>
                                  <w:lang w:eastAsia="en-AU"/>
                                </w:rPr>
                                <w:t>dreaming”</w:t>
                              </w:r>
                              <w:r w:rsidRPr="00B76250">
                                <w:rPr>
                                  <w:rFonts w:ascii="Arial" w:eastAsia="Times New Roman" w:hAnsi="Arial" w:cs="Arial"/>
                                  <w:color w:val="414141"/>
                                  <w:sz w:val="21"/>
                                  <w:szCs w:val="21"/>
                                  <w:lang w:eastAsia="en-AU"/>
                                </w:rPr>
                                <w:t>, it’s the developers who seem to be throwing vast amounts of cash at the vendor with gay abandon as if there is, or will be, no tomorrow.</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The vendor generally proposes that the vendor grant the developer an option to purchase the castle at a specified price within a specified time-frame.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If the specified price is, say, $1.1M and the owner believes the home is not worth more than $1M, then it seems that everyone is going to be a winner.</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The developer agrees to pay a fee for the grant of the option, which the developer will forfeit if they decide not to proceed with the purchase.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lastRenderedPageBreak/>
                                <w:t>It seems like a fantastic deal for the vendor, whether or not the developer proceeds. What could possibly go wrong?</w:t>
                              </w:r>
                              <w:r w:rsidRPr="00B76250">
                                <w:rPr>
                                  <w:rFonts w:ascii="Arial" w:eastAsia="Times New Roman" w:hAnsi="Arial" w:cs="Arial"/>
                                  <w:color w:val="414141"/>
                                  <w:sz w:val="21"/>
                                  <w:szCs w:val="21"/>
                                  <w:lang w:eastAsia="en-AU"/>
                                </w:rPr>
                                <w:br w:type="textWrapping" w:clear="all"/>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Sydney</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Sydney housing prices have risen on average by around 32% over the past 3 years (on average, approximately 10.8% per year from March 2012 to March 2015, based on ABS figures).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If the developer, bless him, elects not to exercise the option until the last possible moment, often 2 years after the grant, then The Castle may have risen in value by around $200,000-$300,000.</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At this point, when the Kerrigan’s neighbours are selling their homes for far more, the option may not seem to be such an attractive proposition, and the Kerrigans are looking at losses in real terms of around $100,000 to $200,000.</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At this point, the Kerrigans are like to call their solicitor, perhaps Denis Venuto, who, after dictating his letter of advice, swivels in is chair to type his letter of advice to the Kerrigans detailing their prospects of successfully avoiding the terms of the option agreement. His advice will hopefully not be based solely on </w:t>
                              </w:r>
                              <w:r w:rsidRPr="00B76250">
                                <w:rPr>
                                  <w:rFonts w:ascii="Arial" w:eastAsia="Times New Roman" w:hAnsi="Arial" w:cs="Arial"/>
                                  <w:i/>
                                  <w:iCs/>
                                  <w:color w:val="414141"/>
                                  <w:sz w:val="21"/>
                                  <w:szCs w:val="21"/>
                                  <w:lang w:eastAsia="en-AU"/>
                                </w:rPr>
                                <w:t>“the vibe”.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What is the Vibe in relation to Options?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In a case of “</w:t>
                              </w:r>
                              <w:r w:rsidRPr="00B76250">
                                <w:rPr>
                                  <w:rFonts w:ascii="Arial" w:eastAsia="Times New Roman" w:hAnsi="Arial" w:cs="Arial"/>
                                  <w:i/>
                                  <w:iCs/>
                                  <w:color w:val="414141"/>
                                  <w:sz w:val="21"/>
                                  <w:szCs w:val="21"/>
                                  <w:lang w:eastAsia="en-AU"/>
                                </w:rPr>
                                <w:t>grantor’s remorse</w:t>
                              </w:r>
                              <w:r w:rsidRPr="00B76250">
                                <w:rPr>
                                  <w:rFonts w:ascii="Arial" w:eastAsia="Times New Roman" w:hAnsi="Arial" w:cs="Arial"/>
                                  <w:color w:val="414141"/>
                                  <w:sz w:val="21"/>
                                  <w:szCs w:val="21"/>
                                  <w:lang w:eastAsia="en-AU"/>
                                </w:rPr>
                                <w:t>” such as this, what precisely is the legal position?</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hyperlink r:id="rId8" w:history="1">
                                <w:r w:rsidRPr="00B76250">
                                  <w:rPr>
                                    <w:rFonts w:ascii="Arial" w:eastAsia="Times New Roman" w:hAnsi="Arial" w:cs="Arial"/>
                                    <w:color w:val="2A3994"/>
                                    <w:sz w:val="21"/>
                                    <w:szCs w:val="21"/>
                                    <w:u w:val="single"/>
                                    <w:lang w:eastAsia="en-AU"/>
                                  </w:rPr>
                                  <w:t>Part 4, Division 9 of the </w:t>
                                </w:r>
                                <w:r w:rsidRPr="00B76250">
                                  <w:rPr>
                                    <w:rFonts w:ascii="Arial" w:eastAsia="Times New Roman" w:hAnsi="Arial" w:cs="Arial"/>
                                    <w:i/>
                                    <w:iCs/>
                                    <w:color w:val="2A3994"/>
                                    <w:sz w:val="21"/>
                                    <w:szCs w:val="21"/>
                                    <w:u w:val="single"/>
                                    <w:lang w:eastAsia="en-AU"/>
                                  </w:rPr>
                                  <w:t>Conveyancing Act 1919</w:t>
                                </w:r>
                                <w:r w:rsidRPr="00B76250">
                                  <w:rPr>
                                    <w:rFonts w:ascii="Arial" w:eastAsia="Times New Roman" w:hAnsi="Arial" w:cs="Arial"/>
                                    <w:color w:val="2A3994"/>
                                    <w:sz w:val="21"/>
                                    <w:szCs w:val="21"/>
                                    <w:u w:val="single"/>
                                    <w:lang w:eastAsia="en-AU"/>
                                  </w:rPr>
                                  <w:t> (NSW)</w:t>
                                </w:r>
                              </w:hyperlink>
                              <w:r w:rsidRPr="00B76250">
                                <w:rPr>
                                  <w:rFonts w:ascii="Arial" w:eastAsia="Times New Roman" w:hAnsi="Arial" w:cs="Arial"/>
                                  <w:color w:val="414141"/>
                                  <w:sz w:val="21"/>
                                  <w:szCs w:val="21"/>
                                  <w:lang w:eastAsia="en-AU"/>
                                </w:rPr>
                                <w:t> creates rules that govern option agreements. These rules may be, and some are, used to escape an option agreement that is not fully compliant.</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For example, section </w:t>
                              </w:r>
                              <w:r w:rsidRPr="00B76250">
                                <w:rPr>
                                  <w:rFonts w:ascii="Arial" w:eastAsia="Times New Roman" w:hAnsi="Arial" w:cs="Arial"/>
                                  <w:i/>
                                  <w:iCs/>
                                  <w:color w:val="414141"/>
                                  <w:sz w:val="21"/>
                                  <w:szCs w:val="21"/>
                                  <w:lang w:eastAsia="en-AU"/>
                                </w:rPr>
                                <w:t>66ZI(2)(a)</w:t>
                              </w:r>
                              <w:r w:rsidRPr="00B76250">
                                <w:rPr>
                                  <w:rFonts w:ascii="Arial" w:eastAsia="Times New Roman" w:hAnsi="Arial" w:cs="Arial"/>
                                  <w:color w:val="414141"/>
                                  <w:sz w:val="21"/>
                                  <w:szCs w:val="21"/>
                                  <w:lang w:eastAsia="en-AU"/>
                                </w:rPr>
                                <w:t> requires that a copy of the proposed contract for sale be attached to the option agreement at the time that the option is granted. In our experience this does not always occur. This section also requires that the attached contract include the particulars of the purchase price. Where the contract is not attached, or the purchase price is omitted from an attached contract, either party can, up until the date when the option is exercised or can no longer be exercised, serve a written notice on the other party to </w:t>
                              </w:r>
                              <w:r w:rsidRPr="00B76250">
                                <w:rPr>
                                  <w:rFonts w:ascii="Arial" w:eastAsia="Times New Roman" w:hAnsi="Arial" w:cs="Arial"/>
                                  <w:i/>
                                  <w:iCs/>
                                  <w:color w:val="414141"/>
                                  <w:sz w:val="21"/>
                                  <w:szCs w:val="21"/>
                                  <w:lang w:eastAsia="en-AU"/>
                                </w:rPr>
                                <w:t>rescind</w:t>
                              </w:r>
                              <w:r w:rsidRPr="00B76250">
                                <w:rPr>
                                  <w:rFonts w:ascii="Arial" w:eastAsia="Times New Roman" w:hAnsi="Arial" w:cs="Arial"/>
                                  <w:color w:val="414141"/>
                                  <w:sz w:val="21"/>
                                  <w:szCs w:val="21"/>
                                  <w:lang w:eastAsia="en-AU"/>
                                </w:rPr>
                                <w:t> the option (section 66ZI(1) and (4)).</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Alternatively, a remorseful grantor might look to the option agreement itself for a way out.</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lastRenderedPageBreak/>
                                <w:t> </w:t>
                              </w:r>
                              <w:r w:rsidRPr="00B76250">
                                <w:rPr>
                                  <w:rFonts w:ascii="Arial" w:eastAsia="Times New Roman" w:hAnsi="Arial" w:cs="Arial"/>
                                  <w:color w:val="414141"/>
                                  <w:sz w:val="21"/>
                                  <w:szCs w:val="21"/>
                                  <w:lang w:eastAsia="en-AU"/>
                                </w:rPr>
                                <w:br/>
                                <w:t>The settled position is that options to purchase property must be exercised in a manner that is strictly in accordance with their terms (see </w:t>
                              </w:r>
                              <w:r w:rsidRPr="00B76250">
                                <w:rPr>
                                  <w:rFonts w:ascii="Arial" w:eastAsia="Times New Roman" w:hAnsi="Arial" w:cs="Arial"/>
                                  <w:i/>
                                  <w:iCs/>
                                  <w:color w:val="414141"/>
                                  <w:sz w:val="21"/>
                                  <w:szCs w:val="21"/>
                                  <w:lang w:eastAsia="en-AU"/>
                                </w:rPr>
                                <w:t>Foster v Archer </w:t>
                              </w:r>
                              <w:r w:rsidRPr="00B76250">
                                <w:rPr>
                                  <w:rFonts w:ascii="Arial" w:eastAsia="Times New Roman" w:hAnsi="Arial" w:cs="Arial"/>
                                  <w:color w:val="414141"/>
                                  <w:sz w:val="21"/>
                                  <w:szCs w:val="21"/>
                                  <w:lang w:eastAsia="en-AU"/>
                                </w:rPr>
                                <w:t>[2012] TASFC] 4 (20 November 2012) at [13], and </w:t>
                              </w:r>
                              <w:r w:rsidRPr="00B76250">
                                <w:rPr>
                                  <w:rFonts w:ascii="Arial" w:eastAsia="Times New Roman" w:hAnsi="Arial" w:cs="Arial"/>
                                  <w:i/>
                                  <w:iCs/>
                                  <w:color w:val="414141"/>
                                  <w:sz w:val="21"/>
                                  <w:szCs w:val="21"/>
                                  <w:lang w:eastAsia="en-AU"/>
                                </w:rPr>
                                <w:t>Parras and Ors v Fai General Insurance Company Ltd (Prov liq apptd) </w:t>
                              </w:r>
                              <w:r w:rsidRPr="00B76250">
                                <w:rPr>
                                  <w:rFonts w:ascii="Arial" w:eastAsia="Times New Roman" w:hAnsi="Arial" w:cs="Arial"/>
                                  <w:color w:val="414141"/>
                                  <w:sz w:val="21"/>
                                  <w:szCs w:val="21"/>
                                  <w:lang w:eastAsia="en-AU"/>
                                </w:rPr>
                                <w:t>[2001] NSWSC 1077 (23 November 2001) at [2]).</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For example, if an option agreement specifically states that on the exercise of an option a deposit must be paid, less the amount of the option fee, a party may be considered to have invalidly exercised an option where they attempt to deduct from the deposit, in addition to the amount of the option fee, any additional fees that have been paid by the developer to extend the period of the option.</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Numerous other technicalities may, perhaps, be sought out and relied upon by a remorseful grantor. For instance, in the contract for sale. The standard Contract for the Sale of Land at clause 20.6.1 states that a document relating to the contract is ‘signed by a party’ if it is signed by their solicitor. A document related to the contract may arguably be considered to be invalidly executed where, for example, one party’s solicitor witnesses another party’s signature, but does not themselves sign the document.</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Conclusion</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There is a great deal of case law relating to options to purchase and/or sell real estate.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Care and skill are required by all concerned including the grantor, the grantee and their respective solicitors. The latter need to have careful regard to not just “</w:t>
                              </w:r>
                              <w:r w:rsidRPr="00B76250">
                                <w:rPr>
                                  <w:rFonts w:ascii="Arial" w:eastAsia="Times New Roman" w:hAnsi="Arial" w:cs="Arial"/>
                                  <w:i/>
                                  <w:iCs/>
                                  <w:color w:val="414141"/>
                                  <w:sz w:val="21"/>
                                  <w:szCs w:val="21"/>
                                  <w:lang w:eastAsia="en-AU"/>
                                </w:rPr>
                                <w:t>the vibe</w:t>
                              </w:r>
                              <w:r w:rsidRPr="00B76250">
                                <w:rPr>
                                  <w:rFonts w:ascii="Arial" w:eastAsia="Times New Roman" w:hAnsi="Arial" w:cs="Arial"/>
                                  <w:color w:val="414141"/>
                                  <w:sz w:val="21"/>
                                  <w:szCs w:val="21"/>
                                  <w:lang w:eastAsia="en-AU"/>
                                </w:rPr>
                                <w:t>”, but also the particular provisions detailed in Part 4, Division 9 of the </w:t>
                              </w:r>
                              <w:r w:rsidRPr="00B76250">
                                <w:rPr>
                                  <w:rFonts w:ascii="Arial" w:eastAsia="Times New Roman" w:hAnsi="Arial" w:cs="Arial"/>
                                  <w:i/>
                                  <w:iCs/>
                                  <w:color w:val="414141"/>
                                  <w:sz w:val="21"/>
                                  <w:szCs w:val="21"/>
                                  <w:lang w:eastAsia="en-AU"/>
                                </w:rPr>
                                <w:t>Conveyancing Act</w:t>
                              </w:r>
                              <w:r w:rsidRPr="00B76250">
                                <w:rPr>
                                  <w:rFonts w:ascii="Arial" w:eastAsia="Times New Roman" w:hAnsi="Arial" w:cs="Arial"/>
                                  <w:color w:val="414141"/>
                                  <w:sz w:val="21"/>
                                  <w:szCs w:val="21"/>
                                  <w:lang w:eastAsia="en-AU"/>
                                </w:rPr>
                                <w:t>and the terms of the option agreement.</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Clive Mills</w:t>
                              </w:r>
                              <w:r w:rsidRPr="00B76250">
                                <w:rPr>
                                  <w:rFonts w:ascii="Arial" w:eastAsia="Times New Roman" w:hAnsi="Arial" w:cs="Arial"/>
                                  <w:color w:val="414141"/>
                                  <w:sz w:val="21"/>
                                  <w:szCs w:val="21"/>
                                  <w:lang w:eastAsia="en-AU"/>
                                </w:rPr>
                                <w:br/>
                                <w:t> </w:t>
                              </w:r>
                            </w:p>
                          </w:tc>
                        </w:tr>
                      </w:tbl>
                      <w:p w:rsidR="00B76250" w:rsidRPr="00B76250" w:rsidRDefault="00B76250" w:rsidP="00B76250">
                        <w:pPr>
                          <w:spacing w:after="0" w:line="240" w:lineRule="auto"/>
                          <w:rPr>
                            <w:rFonts w:ascii="Times New Roman" w:eastAsia="Times New Roman" w:hAnsi="Times New Roman" w:cs="Times New Roman"/>
                            <w:sz w:val="24"/>
                            <w:szCs w:val="24"/>
                            <w:lang w:eastAsia="en-AU"/>
                          </w:rPr>
                        </w:pPr>
                      </w:p>
                    </w:tc>
                  </w:tr>
                  <w:tr w:rsidR="00B76250" w:rsidRPr="00B76250">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9027"/>
                        </w:tblGrid>
                        <w:tr w:rsidR="00B76250" w:rsidRPr="00B76250">
                          <w:tc>
                            <w:tcPr>
                              <w:tcW w:w="0" w:type="auto"/>
                              <w:hideMark/>
                            </w:tcPr>
                            <w:p w:rsidR="00B76250" w:rsidRPr="00B76250" w:rsidRDefault="00B76250" w:rsidP="00B76250">
                              <w:pPr>
                                <w:spacing w:after="150" w:line="510" w:lineRule="atLeast"/>
                                <w:outlineLvl w:val="0"/>
                                <w:rPr>
                                  <w:rFonts w:ascii="Arial" w:eastAsia="Times New Roman" w:hAnsi="Arial" w:cs="Arial"/>
                                  <w:color w:val="2A3994"/>
                                  <w:kern w:val="36"/>
                                  <w:sz w:val="51"/>
                                  <w:szCs w:val="51"/>
                                  <w:lang w:eastAsia="en-AU"/>
                                </w:rPr>
                              </w:pPr>
                              <w:r w:rsidRPr="00B76250">
                                <w:rPr>
                                  <w:rFonts w:ascii="Arial" w:eastAsia="Times New Roman" w:hAnsi="Arial" w:cs="Arial"/>
                                  <w:color w:val="2A3994"/>
                                  <w:kern w:val="36"/>
                                  <w:sz w:val="51"/>
                                  <w:szCs w:val="51"/>
                                  <w:lang w:eastAsia="en-AU"/>
                                </w:rPr>
                                <w:lastRenderedPageBreak/>
                                <w:t>                     </w:t>
                              </w:r>
                              <w:r>
                                <w:rPr>
                                  <w:rFonts w:ascii="Arial" w:eastAsia="Times New Roman" w:hAnsi="Arial" w:cs="Arial"/>
                                  <w:noProof/>
                                  <w:color w:val="2A3994"/>
                                  <w:kern w:val="36"/>
                                  <w:sz w:val="51"/>
                                  <w:szCs w:val="51"/>
                                  <w:lang w:eastAsia="en-AU"/>
                                </w:rPr>
                                <w:lastRenderedPageBreak/>
                                <w:drawing>
                                  <wp:inline distT="0" distB="0" distL="0" distR="0">
                                    <wp:extent cx="3810000" cy="2400300"/>
                                    <wp:effectExtent l="0" t="0" r="0" b="0"/>
                                    <wp:docPr id="8" name="Picture 8" descr="https://gallery.mailchimp.com/d7ac35d590989fce96f6014e9/images/a860ff05-1370-412e-9f01-7b1fbdb5a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7ac35d590989fce96f6014e9/images/a860ff05-1370-412e-9f01-7b1fbdb5a7e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r w:rsidRPr="00B76250">
                                <w:rPr>
                                  <w:rFonts w:ascii="Arial" w:eastAsia="Times New Roman" w:hAnsi="Arial" w:cs="Arial"/>
                                  <w:color w:val="2A3994"/>
                                  <w:kern w:val="36"/>
                                  <w:sz w:val="51"/>
                                  <w:szCs w:val="51"/>
                                  <w:lang w:eastAsia="en-AU"/>
                                </w:rPr>
                                <w:br/>
                                <w:t> </w:t>
                              </w:r>
                            </w:p>
                            <w:p w:rsidR="00B76250" w:rsidRPr="00B76250" w:rsidRDefault="00B76250" w:rsidP="00B76250">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9525" cy="9525"/>
                                    <wp:effectExtent l="0" t="0" r="0" b="0"/>
                                    <wp:docPr id="7" name="Picture 7" descr="http://gallery.mailchimp.com/653153ae841fd11de66ad181a/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lery.mailchimp.com/653153ae841fd11de66ad181a/images/transparen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250" w:rsidRPr="00B76250" w:rsidRDefault="00B76250" w:rsidP="00B76250">
                              <w:pPr>
                                <w:spacing w:before="100" w:beforeAutospacing="1" w:after="100" w:afterAutospacing="1" w:line="315" w:lineRule="atLeast"/>
                                <w:rPr>
                                  <w:rFonts w:ascii="Arial" w:eastAsia="Times New Roman" w:hAnsi="Arial" w:cs="Arial"/>
                                  <w:color w:val="414141"/>
                                  <w:sz w:val="21"/>
                                  <w:szCs w:val="21"/>
                                  <w:lang w:eastAsia="en-AU"/>
                                </w:rPr>
                              </w:pPr>
                              <w:r w:rsidRPr="00B76250">
                                <w:rPr>
                                  <w:rFonts w:ascii="Arial" w:eastAsia="Times New Roman" w:hAnsi="Arial" w:cs="Arial"/>
                                  <w:b/>
                                  <w:bCs/>
                                  <w:i/>
                                  <w:iCs/>
                                  <w:color w:val="414141"/>
                                  <w:sz w:val="27"/>
                                  <w:szCs w:val="27"/>
                                  <w:u w:val="single"/>
                                  <w:lang w:eastAsia="en-AU"/>
                                </w:rPr>
                                <w:t>Are All Obligations Created Equal?: Indemnities vs Guarantees in Contractual Relationships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‘Indemnities’ and ‘guarantees’ are two concepts that can arise in a contractual relationship. Both an indemnity and a guarantee will usually require one party, “</w:t>
                              </w:r>
                              <w:r w:rsidRPr="00B76250">
                                <w:rPr>
                                  <w:rFonts w:ascii="Arial" w:eastAsia="Times New Roman" w:hAnsi="Arial" w:cs="Arial"/>
                                  <w:i/>
                                  <w:iCs/>
                                  <w:color w:val="414141"/>
                                  <w:sz w:val="21"/>
                                  <w:szCs w:val="21"/>
                                  <w:lang w:eastAsia="en-AU"/>
                                </w:rPr>
                                <w:t>A</w:t>
                              </w:r>
                              <w:r w:rsidRPr="00B76250">
                                <w:rPr>
                                  <w:rFonts w:ascii="Arial" w:eastAsia="Times New Roman" w:hAnsi="Arial" w:cs="Arial"/>
                                  <w:color w:val="414141"/>
                                  <w:sz w:val="21"/>
                                  <w:szCs w:val="21"/>
                                  <w:lang w:eastAsia="en-AU"/>
                                </w:rPr>
                                <w:t>”, to pay the other party, “</w:t>
                              </w:r>
                              <w:r w:rsidRPr="00B76250">
                                <w:rPr>
                                  <w:rFonts w:ascii="Arial" w:eastAsia="Times New Roman" w:hAnsi="Arial" w:cs="Arial"/>
                                  <w:i/>
                                  <w:iCs/>
                                  <w:color w:val="414141"/>
                                  <w:sz w:val="21"/>
                                  <w:szCs w:val="21"/>
                                  <w:lang w:eastAsia="en-AU"/>
                                </w:rPr>
                                <w:t>B</w:t>
                              </w:r>
                              <w:r w:rsidRPr="00B76250">
                                <w:rPr>
                                  <w:rFonts w:ascii="Arial" w:eastAsia="Times New Roman" w:hAnsi="Arial" w:cs="Arial"/>
                                  <w:color w:val="414141"/>
                                  <w:sz w:val="21"/>
                                  <w:szCs w:val="21"/>
                                  <w:lang w:eastAsia="en-AU"/>
                                </w:rPr>
                                <w:t>”, an amount of money when a particular event occurs. There are, however, some significant differences between the two kinds of arrangement. Below, I will seek to draw out some of these differences by examining how these two kinds of arrangements are created, how the obligations to pay under these arrangements are triggered, and how indemnifiers and guarantors can be released from their obligations.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How Indemnities and Guarantees are made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An indemnity will usually appear as a provision in a contract between the relevant parties. Let’s say, for example, that A and B enter a contract in which A will overhaul a generator for B. The contract might include, if A’s lawyers have not been doing their job properly, a term stating that A will “</w:t>
                              </w:r>
                              <w:r w:rsidRPr="00B76250">
                                <w:rPr>
                                  <w:rFonts w:ascii="Arial" w:eastAsia="Times New Roman" w:hAnsi="Arial" w:cs="Arial"/>
                                  <w:i/>
                                  <w:iCs/>
                                  <w:color w:val="414141"/>
                                  <w:sz w:val="21"/>
                                  <w:szCs w:val="21"/>
                                  <w:lang w:eastAsia="en-AU"/>
                                </w:rPr>
                                <w:t>indemnify</w:t>
                              </w:r>
                              <w:r w:rsidRPr="00B76250">
                                <w:rPr>
                                  <w:rFonts w:ascii="Arial" w:eastAsia="Times New Roman" w:hAnsi="Arial" w:cs="Arial"/>
                                  <w:color w:val="414141"/>
                                  <w:sz w:val="21"/>
                                  <w:szCs w:val="21"/>
                                  <w:lang w:eastAsia="en-AU"/>
                                </w:rPr>
                                <w:t>” B for any damage whatsoever that B suffers as a result of any third party’s actions or injuries on the building site, whether caused by A or not. In the event that B becomes liable to a third party for something occurring on the site, A must wholly reimburse B for any loss that B incurs as a result.</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 guarantee, by contrast, will often take the form of a “</w:t>
                              </w:r>
                              <w:r w:rsidRPr="00B76250">
                                <w:rPr>
                                  <w:rFonts w:ascii="Arial" w:eastAsia="Times New Roman" w:hAnsi="Arial" w:cs="Arial"/>
                                  <w:i/>
                                  <w:iCs/>
                                  <w:color w:val="414141"/>
                                  <w:sz w:val="21"/>
                                  <w:szCs w:val="21"/>
                                  <w:lang w:eastAsia="en-AU"/>
                                </w:rPr>
                                <w:t>collateral contract</w:t>
                              </w:r>
                              <w:r w:rsidRPr="00B76250">
                                <w:rPr>
                                  <w:rFonts w:ascii="Arial" w:eastAsia="Times New Roman" w:hAnsi="Arial" w:cs="Arial"/>
                                  <w:color w:val="414141"/>
                                  <w:sz w:val="21"/>
                                  <w:szCs w:val="21"/>
                                  <w:lang w:eastAsia="en-AU"/>
                                </w:rPr>
                                <w:t>”</w:t>
                              </w:r>
                              <w:bookmarkStart w:id="0" w:name="_ftnref1"/>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"_ftn1"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[1]</w:t>
                              </w:r>
                              <w:r w:rsidRPr="00B76250">
                                <w:rPr>
                                  <w:rFonts w:ascii="Arial" w:eastAsia="Times New Roman" w:hAnsi="Arial" w:cs="Arial"/>
                                  <w:color w:val="414141"/>
                                  <w:sz w:val="21"/>
                                  <w:szCs w:val="21"/>
                                  <w:lang w:eastAsia="en-AU"/>
                                </w:rPr>
                                <w:fldChar w:fldCharType="end"/>
                              </w:r>
                              <w:bookmarkEnd w:id="0"/>
                              <w:r w:rsidRPr="00B76250">
                                <w:rPr>
                                  <w:rFonts w:ascii="Arial" w:eastAsia="Times New Roman" w:hAnsi="Arial" w:cs="Arial"/>
                                  <w:color w:val="414141"/>
                                  <w:sz w:val="21"/>
                                  <w:szCs w:val="21"/>
                                  <w:lang w:eastAsia="en-AU"/>
                                </w:rPr>
                                <w:t>. In this scenario, B enters into a contract with another party, “</w:t>
                              </w:r>
                              <w:r w:rsidRPr="00B76250">
                                <w:rPr>
                                  <w:rFonts w:ascii="Arial" w:eastAsia="Times New Roman" w:hAnsi="Arial" w:cs="Arial"/>
                                  <w:i/>
                                  <w:iCs/>
                                  <w:color w:val="414141"/>
                                  <w:sz w:val="21"/>
                                  <w:szCs w:val="21"/>
                                  <w:lang w:eastAsia="en-AU"/>
                                </w:rPr>
                                <w:t>C</w:t>
                              </w:r>
                              <w:r w:rsidRPr="00B76250">
                                <w:rPr>
                                  <w:rFonts w:ascii="Arial" w:eastAsia="Times New Roman" w:hAnsi="Arial" w:cs="Arial"/>
                                  <w:color w:val="414141"/>
                                  <w:sz w:val="21"/>
                                  <w:szCs w:val="21"/>
                                  <w:lang w:eastAsia="en-AU"/>
                                </w:rPr>
                                <w:t>”, where C will be carrying out the overhaul. B then enters into a separate contract with A, where A guarantees to pay an amount of money to B in the event that, for example, C breaches a term of its contract with B by using incorrect materials in the overhaul.</w:t>
                              </w:r>
                              <w:bookmarkStart w:id="1" w:name="_ftnref2"/>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"_ftn2"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[2]</w:t>
                              </w:r>
                              <w:r w:rsidRPr="00B76250">
                                <w:rPr>
                                  <w:rFonts w:ascii="Arial" w:eastAsia="Times New Roman" w:hAnsi="Arial" w:cs="Arial"/>
                                  <w:color w:val="414141"/>
                                  <w:sz w:val="21"/>
                                  <w:szCs w:val="21"/>
                                  <w:lang w:eastAsia="en-AU"/>
                                </w:rPr>
                                <w:fldChar w:fldCharType="end"/>
                              </w:r>
                              <w:bookmarkEnd w:id="1"/>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lastRenderedPageBreak/>
                                <w:t> </w:t>
                              </w:r>
                              <w:r w:rsidRPr="00B76250">
                                <w:rPr>
                                  <w:rFonts w:ascii="Arial" w:eastAsia="Times New Roman" w:hAnsi="Arial" w:cs="Arial"/>
                                  <w:color w:val="414141"/>
                                  <w:sz w:val="21"/>
                                  <w:szCs w:val="21"/>
                                  <w:lang w:eastAsia="en-AU"/>
                                </w:rPr>
                                <w:br/>
                                <w:t>Whereas an indemnity is a promise to hold B harmless arising directly from the contract between A and B, a guarantee is a promise to answer for a breach, default, etc arising under a contract entirely separate to the guarantee itself.</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Triggers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As the above examples show, guarantees usually only become enforceable following the “trigger” of certain conduct by C.</w:t>
                              </w:r>
                              <w:bookmarkStart w:id="2" w:name="_ftnref3"/>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"_ftn3"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[3]</w:t>
                              </w:r>
                              <w:r w:rsidRPr="00B76250">
                                <w:rPr>
                                  <w:rFonts w:ascii="Arial" w:eastAsia="Times New Roman" w:hAnsi="Arial" w:cs="Arial"/>
                                  <w:color w:val="414141"/>
                                  <w:sz w:val="21"/>
                                  <w:szCs w:val="21"/>
                                  <w:lang w:eastAsia="en-AU"/>
                                </w:rPr>
                                <w:fldChar w:fldCharType="end"/>
                              </w:r>
                              <w:bookmarkEnd w:id="2"/>
                              <w:r w:rsidRPr="00B76250">
                                <w:rPr>
                                  <w:rFonts w:ascii="Arial" w:eastAsia="Times New Roman" w:hAnsi="Arial" w:cs="Arial"/>
                                  <w:color w:val="414141"/>
                                  <w:sz w:val="21"/>
                                  <w:szCs w:val="21"/>
                                  <w:lang w:eastAsia="en-AU"/>
                                </w:rPr>
                                <w:t>Where C, for example, breaches a term of the contract, fails to complete the project within a specified timeframe, or is otherwise in default, B can enforce the guarantee against A.</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Contractual indemnities do not need to be so limited. You can create an indemnity to apply to practically any event,</w:t>
                              </w:r>
                              <w:bookmarkStart w:id="3" w:name="_ftnref4"/>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"_ftn4"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[4]</w:t>
                              </w:r>
                              <w:r w:rsidRPr="00B76250">
                                <w:rPr>
                                  <w:rFonts w:ascii="Arial" w:eastAsia="Times New Roman" w:hAnsi="Arial" w:cs="Arial"/>
                                  <w:color w:val="414141"/>
                                  <w:sz w:val="21"/>
                                  <w:szCs w:val="21"/>
                                  <w:lang w:eastAsia="en-AU"/>
                                </w:rPr>
                                <w:fldChar w:fldCharType="end"/>
                              </w:r>
                              <w:bookmarkEnd w:id="3"/>
                              <w:r w:rsidRPr="00B76250">
                                <w:rPr>
                                  <w:rFonts w:ascii="Arial" w:eastAsia="Times New Roman" w:hAnsi="Arial" w:cs="Arial"/>
                                  <w:color w:val="414141"/>
                                  <w:sz w:val="21"/>
                                  <w:szCs w:val="21"/>
                                  <w:lang w:eastAsia="en-AU"/>
                                </w:rPr>
                                <w:t> although, as noted above, a good lawyer ought to try and limit as much as possible any indemnities owed by their client to the other party. Indemnities are also used as a means of risk allocation, where, for example, B is the party who is liable to a third party in some respect, but A is able to obtain insurance to cover that amount.</w:t>
                              </w:r>
                              <w:bookmarkStart w:id="4" w:name="_ftnref5"/>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"_ftn5"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[5]</w:t>
                              </w:r>
                              <w:r w:rsidRPr="00B76250">
                                <w:rPr>
                                  <w:rFonts w:ascii="Arial" w:eastAsia="Times New Roman" w:hAnsi="Arial" w:cs="Arial"/>
                                  <w:color w:val="414141"/>
                                  <w:sz w:val="21"/>
                                  <w:szCs w:val="21"/>
                                  <w:lang w:eastAsia="en-AU"/>
                                </w:rPr>
                                <w:fldChar w:fldCharType="end"/>
                              </w:r>
                              <w:bookmarkEnd w:id="4"/>
                              <w:r w:rsidRPr="00B76250">
                                <w:rPr>
                                  <w:rFonts w:ascii="Arial" w:eastAsia="Times New Roman" w:hAnsi="Arial" w:cs="Arial"/>
                                  <w:color w:val="414141"/>
                                  <w:sz w:val="21"/>
                                  <w:szCs w:val="21"/>
                                  <w:lang w:eastAsia="en-AU"/>
                                </w:rPr>
                                <w:t> A might then offer an indemnity to B, as it is in a position to cover that liability without significant loss to itself.</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Release/Discharge</w:t>
                              </w:r>
                              <w:r w:rsidRPr="00B76250">
                                <w:rPr>
                                  <w:rFonts w:ascii="Arial" w:eastAsia="Times New Roman" w:hAnsi="Arial" w:cs="Arial"/>
                                  <w:b/>
                                  <w:bCs/>
                                  <w:color w:val="414141"/>
                                  <w:sz w:val="21"/>
                                  <w:szCs w:val="21"/>
                                  <w:lang w:eastAsia="en-AU"/>
                                </w:rPr>
                                <w:br/>
                                <w:t> </w:t>
                              </w:r>
                              <w:r w:rsidRPr="00B76250">
                                <w:rPr>
                                  <w:rFonts w:ascii="Arial" w:eastAsia="Times New Roman" w:hAnsi="Arial" w:cs="Arial"/>
                                  <w:color w:val="414141"/>
                                  <w:sz w:val="21"/>
                                  <w:szCs w:val="21"/>
                                  <w:lang w:eastAsia="en-AU"/>
                                </w:rPr>
                                <w:br/>
                                <w:t>Usually, a guarantee will allow for certain circumstances where the guarantor, A, can be released from their obligation to pay B. The common position will be that if B breaches its contract with C, A no longer has to provide a guarantee to B in respect of C’s conduct under the contract.</w:t>
                              </w:r>
                              <w:bookmarkStart w:id="5" w:name="_ftnref6"/>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"_ftn6"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[6]</w:t>
                              </w:r>
                              <w:r w:rsidRPr="00B76250">
                                <w:rPr>
                                  <w:rFonts w:ascii="Arial" w:eastAsia="Times New Roman" w:hAnsi="Arial" w:cs="Arial"/>
                                  <w:color w:val="414141"/>
                                  <w:sz w:val="21"/>
                                  <w:szCs w:val="21"/>
                                  <w:lang w:eastAsia="en-AU"/>
                                </w:rPr>
                                <w:fldChar w:fldCharType="end"/>
                              </w:r>
                              <w:bookmarkEnd w:id="5"/>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An indemnity does not necessarily end just because the indemnified party, B, has breached any terms of the contract between it and A.</w:t>
                              </w:r>
                              <w:bookmarkStart w:id="6" w:name="_ftnref7"/>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"_ftn7"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[7]</w:t>
                              </w:r>
                              <w:r w:rsidRPr="00B76250">
                                <w:rPr>
                                  <w:rFonts w:ascii="Arial" w:eastAsia="Times New Roman" w:hAnsi="Arial" w:cs="Arial"/>
                                  <w:color w:val="414141"/>
                                  <w:sz w:val="21"/>
                                  <w:szCs w:val="21"/>
                                  <w:lang w:eastAsia="en-AU"/>
                                </w:rPr>
                                <w:fldChar w:fldCharType="end"/>
                              </w:r>
                              <w:bookmarkEnd w:id="6"/>
                              <w:r w:rsidRPr="00B76250">
                                <w:rPr>
                                  <w:rFonts w:ascii="Arial" w:eastAsia="Times New Roman" w:hAnsi="Arial" w:cs="Arial"/>
                                  <w:color w:val="414141"/>
                                  <w:sz w:val="21"/>
                                  <w:szCs w:val="21"/>
                                  <w:lang w:eastAsia="en-AU"/>
                                </w:rPr>
                                <w:t> Indeed, the indemnity may expressly provide that A indemnifies B in relation to particular breaches of the terms of the contract. As a result, the ability to escape from an indemnity will depend largely on the terms of the individual contract. It may, however, be possible to escape an indemnity where B has changed the terms of the contract since the indemnity was provided in a way which is “</w:t>
                              </w:r>
                              <w:r w:rsidRPr="00B76250">
                                <w:rPr>
                                  <w:rFonts w:ascii="Arial" w:eastAsia="Times New Roman" w:hAnsi="Arial" w:cs="Arial"/>
                                  <w:i/>
                                  <w:iCs/>
                                  <w:color w:val="414141"/>
                                  <w:sz w:val="21"/>
                                  <w:szCs w:val="21"/>
                                  <w:lang w:eastAsia="en-AU"/>
                                </w:rPr>
                                <w:t>material</w:t>
                              </w:r>
                              <w:r w:rsidRPr="00B76250">
                                <w:rPr>
                                  <w:rFonts w:ascii="Arial" w:eastAsia="Times New Roman" w:hAnsi="Arial" w:cs="Arial"/>
                                  <w:color w:val="414141"/>
                                  <w:sz w:val="21"/>
                                  <w:szCs w:val="21"/>
                                  <w:lang w:eastAsia="en-AU"/>
                                </w:rPr>
                                <w:t>” to A.</w:t>
                              </w:r>
                              <w:bookmarkStart w:id="7" w:name="_ftnref8"/>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"_ftn8"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[8]</w:t>
                              </w:r>
                              <w:r w:rsidRPr="00B76250">
                                <w:rPr>
                                  <w:rFonts w:ascii="Arial" w:eastAsia="Times New Roman" w:hAnsi="Arial" w:cs="Arial"/>
                                  <w:color w:val="414141"/>
                                  <w:sz w:val="21"/>
                                  <w:szCs w:val="21"/>
                                  <w:lang w:eastAsia="en-AU"/>
                                </w:rPr>
                                <w:fldChar w:fldCharType="end"/>
                              </w:r>
                              <w:bookmarkEnd w:id="7"/>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This last principal also applies to a guarantee.</w:t>
                              </w:r>
                              <w:bookmarkStart w:id="8" w:name="_ftnref9"/>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"_ftn9"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[9]</w:t>
                              </w:r>
                              <w:r w:rsidRPr="00B76250">
                                <w:rPr>
                                  <w:rFonts w:ascii="Arial" w:eastAsia="Times New Roman" w:hAnsi="Arial" w:cs="Arial"/>
                                  <w:color w:val="414141"/>
                                  <w:sz w:val="21"/>
                                  <w:szCs w:val="21"/>
                                  <w:lang w:eastAsia="en-AU"/>
                                </w:rPr>
                                <w:fldChar w:fldCharType="end"/>
                              </w:r>
                              <w:bookmarkEnd w:id="8"/>
                              <w:r w:rsidRPr="00B76250">
                                <w:rPr>
                                  <w:rFonts w:ascii="Arial" w:eastAsia="Times New Roman" w:hAnsi="Arial" w:cs="Arial"/>
                                  <w:color w:val="414141"/>
                                  <w:sz w:val="21"/>
                                  <w:szCs w:val="21"/>
                                  <w:lang w:eastAsia="en-AU"/>
                                </w:rPr>
                                <w:t> Where B has materially altered its contract with C, A can no longer be expected to guarantee C’s conduct as what the contract requires of C may have changed significantly since the guarantee was entered into.</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r>
                              <w:r w:rsidRPr="00B76250">
                                <w:rPr>
                                  <w:rFonts w:ascii="Arial" w:eastAsia="Times New Roman" w:hAnsi="Arial" w:cs="Arial"/>
                                  <w:b/>
                                  <w:bCs/>
                                  <w:i/>
                                  <w:iCs/>
                                  <w:color w:val="414141"/>
                                  <w:sz w:val="21"/>
                                  <w:szCs w:val="21"/>
                                  <w:lang w:eastAsia="en-AU"/>
                                </w:rPr>
                                <w:t>Conclusion</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lastRenderedPageBreak/>
                                <w:t> </w:t>
                              </w:r>
                              <w:r w:rsidRPr="00B76250">
                                <w:rPr>
                                  <w:rFonts w:ascii="Arial" w:eastAsia="Times New Roman" w:hAnsi="Arial" w:cs="Arial"/>
                                  <w:color w:val="414141"/>
                                  <w:sz w:val="21"/>
                                  <w:szCs w:val="21"/>
                                  <w:lang w:eastAsia="en-AU"/>
                                </w:rPr>
                                <w:br/>
                                <w:t>Hopefully some of the above can assist in differentiating an indemnity from a guarantee. There are some important differences between the two in terms of the parties usually involved, the vehicle utilised for the arrangement, and how they operate and are enforced. It is essential to keep these differences in mind, as it is the </w:t>
                              </w:r>
                              <w:r w:rsidRPr="00B76250">
                                <w:rPr>
                                  <w:rFonts w:ascii="Arial" w:eastAsia="Times New Roman" w:hAnsi="Arial" w:cs="Arial"/>
                                  <w:i/>
                                  <w:iCs/>
                                  <w:color w:val="414141"/>
                                  <w:sz w:val="21"/>
                                  <w:szCs w:val="21"/>
                                  <w:lang w:eastAsia="en-AU"/>
                                </w:rPr>
                                <w:t>effect</w:t>
                              </w:r>
                              <w:bookmarkStart w:id="9" w:name="_ftnref10"/>
                              <w:r w:rsidRPr="00B76250">
                                <w:rPr>
                                  <w:rFonts w:ascii="Arial" w:eastAsia="Times New Roman" w:hAnsi="Arial" w:cs="Arial"/>
                                  <w:i/>
                                  <w:iCs/>
                                  <w:color w:val="414141"/>
                                  <w:sz w:val="21"/>
                                  <w:szCs w:val="21"/>
                                  <w:lang w:eastAsia="en-AU"/>
                                </w:rPr>
                                <w:fldChar w:fldCharType="begin"/>
                              </w:r>
                              <w:r w:rsidRPr="00B76250">
                                <w:rPr>
                                  <w:rFonts w:ascii="Arial" w:eastAsia="Times New Roman" w:hAnsi="Arial" w:cs="Arial"/>
                                  <w:i/>
                                  <w:iCs/>
                                  <w:color w:val="414141"/>
                                  <w:sz w:val="21"/>
                                  <w:szCs w:val="21"/>
                                  <w:lang w:eastAsia="en-AU"/>
                                </w:rPr>
                                <w:instrText xml:space="preserve"> HYPERLINK "http://us4.campaign-archive2.com/?u=d7ac35d590989fce96f6014e9&amp;id=04bbb38c83" \l "_ftn10" \o "" </w:instrText>
                              </w:r>
                              <w:r w:rsidRPr="00B76250">
                                <w:rPr>
                                  <w:rFonts w:ascii="Arial" w:eastAsia="Times New Roman" w:hAnsi="Arial" w:cs="Arial"/>
                                  <w:i/>
                                  <w:iCs/>
                                  <w:color w:val="414141"/>
                                  <w:sz w:val="21"/>
                                  <w:szCs w:val="21"/>
                                  <w:lang w:eastAsia="en-AU"/>
                                </w:rPr>
                                <w:fldChar w:fldCharType="separate"/>
                              </w:r>
                              <w:r w:rsidRPr="00B76250">
                                <w:rPr>
                                  <w:rFonts w:ascii="Arial" w:eastAsia="Times New Roman" w:hAnsi="Arial" w:cs="Arial"/>
                                  <w:b/>
                                  <w:bCs/>
                                  <w:i/>
                                  <w:iCs/>
                                  <w:color w:val="2A3994"/>
                                  <w:sz w:val="21"/>
                                  <w:szCs w:val="21"/>
                                  <w:u w:val="single"/>
                                  <w:lang w:eastAsia="en-AU"/>
                                </w:rPr>
                                <w:t>[10]</w:t>
                              </w:r>
                              <w:r w:rsidRPr="00B76250">
                                <w:rPr>
                                  <w:rFonts w:ascii="Arial" w:eastAsia="Times New Roman" w:hAnsi="Arial" w:cs="Arial"/>
                                  <w:i/>
                                  <w:iCs/>
                                  <w:color w:val="414141"/>
                                  <w:sz w:val="21"/>
                                  <w:szCs w:val="21"/>
                                  <w:lang w:eastAsia="en-AU"/>
                                </w:rPr>
                                <w:fldChar w:fldCharType="end"/>
                              </w:r>
                              <w:bookmarkEnd w:id="9"/>
                              <w:r w:rsidRPr="00B76250">
                                <w:rPr>
                                  <w:rFonts w:ascii="Arial" w:eastAsia="Times New Roman" w:hAnsi="Arial" w:cs="Arial"/>
                                  <w:color w:val="414141"/>
                                  <w:sz w:val="21"/>
                                  <w:szCs w:val="21"/>
                                  <w:lang w:eastAsia="en-AU"/>
                                </w:rPr>
                                <w:t> of an arrangement that a court will look to in order to determine whether it is an indemnity or a guarantee.</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Ashley Rihak</w:t>
                              </w:r>
                              <w:r w:rsidRPr="00B76250">
                                <w:rPr>
                                  <w:rFonts w:ascii="Arial" w:eastAsia="Times New Roman" w:hAnsi="Arial" w:cs="Arial"/>
                                  <w:color w:val="414141"/>
                                  <w:sz w:val="21"/>
                                  <w:szCs w:val="21"/>
                                  <w:lang w:eastAsia="en-AU"/>
                                </w:rPr>
                                <w:br/>
                                <w:t> </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t> </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pict>
                                  <v:rect id="_x0000_i1025" style="width:148.95pt;height:.75pt" o:hrpct="330" o:hrstd="t" o:hr="t" fillcolor="#a0a0a0" stroked="f"/>
                                </w:pict>
                              </w:r>
                            </w:p>
                            <w:bookmarkStart w:id="10" w:name="_ftn1"/>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"_ftnref1"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[1]</w:t>
                              </w:r>
                              <w:r w:rsidRPr="00B76250">
                                <w:rPr>
                                  <w:rFonts w:ascii="Arial" w:eastAsia="Times New Roman" w:hAnsi="Arial" w:cs="Arial"/>
                                  <w:color w:val="414141"/>
                                  <w:sz w:val="21"/>
                                  <w:szCs w:val="21"/>
                                  <w:lang w:eastAsia="en-AU"/>
                                </w:rPr>
                                <w:fldChar w:fldCharType="end"/>
                              </w:r>
                              <w:bookmarkEnd w:id="10"/>
                              <w:r w:rsidRPr="00B76250">
                                <w:rPr>
                                  <w:rFonts w:ascii="Arial" w:eastAsia="Times New Roman" w:hAnsi="Arial" w:cs="Arial"/>
                                  <w:color w:val="414141"/>
                                  <w:sz w:val="21"/>
                                  <w:szCs w:val="21"/>
                                  <w:lang w:eastAsia="en-AU"/>
                                </w:rPr>
                                <w:t> </w:t>
                              </w:r>
                              <w:r w:rsidRPr="00B76250">
                                <w:rPr>
                                  <w:rFonts w:ascii="Arial" w:eastAsia="Times New Roman" w:hAnsi="Arial" w:cs="Arial"/>
                                  <w:i/>
                                  <w:iCs/>
                                  <w:color w:val="414141"/>
                                  <w:sz w:val="21"/>
                                  <w:szCs w:val="21"/>
                                  <w:lang w:eastAsia="en-AU"/>
                                </w:rPr>
                                <w:t>Sunbird Plaza Pty Ltd v Maloney </w:t>
                              </w:r>
                              <w:r w:rsidRPr="00B76250">
                                <w:rPr>
                                  <w:rFonts w:ascii="Arial" w:eastAsia="Times New Roman" w:hAnsi="Arial" w:cs="Arial"/>
                                  <w:color w:val="414141"/>
                                  <w:sz w:val="21"/>
                                  <w:szCs w:val="21"/>
                                  <w:lang w:eastAsia="en-AU"/>
                                </w:rPr>
                                <w:t>[1988] HCA 11, [3].</w:t>
                              </w:r>
                            </w:p>
                            <w:bookmarkStart w:id="11" w:name="_ftn2"/>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"_ftnref2"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[2]</w:t>
                              </w:r>
                              <w:r w:rsidRPr="00B76250">
                                <w:rPr>
                                  <w:rFonts w:ascii="Arial" w:eastAsia="Times New Roman" w:hAnsi="Arial" w:cs="Arial"/>
                                  <w:color w:val="414141"/>
                                  <w:sz w:val="21"/>
                                  <w:szCs w:val="21"/>
                                  <w:lang w:eastAsia="en-AU"/>
                                </w:rPr>
                                <w:fldChar w:fldCharType="end"/>
                              </w:r>
                              <w:bookmarkEnd w:id="11"/>
                              <w:r w:rsidRPr="00B76250">
                                <w:rPr>
                                  <w:rFonts w:ascii="Arial" w:eastAsia="Times New Roman" w:hAnsi="Arial" w:cs="Arial"/>
                                  <w:color w:val="414141"/>
                                  <w:sz w:val="21"/>
                                  <w:szCs w:val="21"/>
                                  <w:lang w:eastAsia="en-AU"/>
                                </w:rPr>
                                <w:t> Ibid.</w:t>
                              </w:r>
                            </w:p>
                            <w:bookmarkStart w:id="12" w:name="_ftn3"/>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"_ftnref3"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[3]</w:t>
                              </w:r>
                              <w:r w:rsidRPr="00B76250">
                                <w:rPr>
                                  <w:rFonts w:ascii="Arial" w:eastAsia="Times New Roman" w:hAnsi="Arial" w:cs="Arial"/>
                                  <w:color w:val="414141"/>
                                  <w:sz w:val="21"/>
                                  <w:szCs w:val="21"/>
                                  <w:lang w:eastAsia="en-AU"/>
                                </w:rPr>
                                <w:fldChar w:fldCharType="end"/>
                              </w:r>
                              <w:bookmarkEnd w:id="12"/>
                              <w:r w:rsidRPr="00B76250">
                                <w:rPr>
                                  <w:rFonts w:ascii="Arial" w:eastAsia="Times New Roman" w:hAnsi="Arial" w:cs="Arial"/>
                                  <w:color w:val="414141"/>
                                  <w:sz w:val="21"/>
                                  <w:szCs w:val="21"/>
                                  <w:lang w:eastAsia="en-AU"/>
                                </w:rPr>
                                <w:t> </w:t>
                              </w:r>
                              <w:r w:rsidRPr="00B76250">
                                <w:rPr>
                                  <w:rFonts w:ascii="Arial" w:eastAsia="Times New Roman" w:hAnsi="Arial" w:cs="Arial"/>
                                  <w:i/>
                                  <w:iCs/>
                                  <w:color w:val="414141"/>
                                  <w:sz w:val="21"/>
                                  <w:szCs w:val="21"/>
                                  <w:lang w:eastAsia="en-AU"/>
                                </w:rPr>
                                <w:t>Caltex Australia Petroleum Pty Ltd v Troost </w:t>
                              </w:r>
                              <w:r w:rsidRPr="00B76250">
                                <w:rPr>
                                  <w:rFonts w:ascii="Arial" w:eastAsia="Times New Roman" w:hAnsi="Arial" w:cs="Arial"/>
                                  <w:color w:val="414141"/>
                                  <w:sz w:val="21"/>
                                  <w:szCs w:val="21"/>
                                  <w:lang w:eastAsia="en-AU"/>
                                </w:rPr>
                                <w:t>[2015] NSWCA 64, [50] (‘</w:t>
                              </w:r>
                              <w:r w:rsidRPr="00B76250">
                                <w:rPr>
                                  <w:rFonts w:ascii="Arial" w:eastAsia="Times New Roman" w:hAnsi="Arial" w:cs="Arial"/>
                                  <w:i/>
                                  <w:iCs/>
                                  <w:color w:val="414141"/>
                                  <w:sz w:val="21"/>
                                  <w:szCs w:val="21"/>
                                  <w:lang w:eastAsia="en-AU"/>
                                </w:rPr>
                                <w:t>Caltex</w:t>
                              </w:r>
                              <w:r w:rsidRPr="00B76250">
                                <w:rPr>
                                  <w:rFonts w:ascii="Arial" w:eastAsia="Times New Roman" w:hAnsi="Arial" w:cs="Arial"/>
                                  <w:color w:val="414141"/>
                                  <w:sz w:val="21"/>
                                  <w:szCs w:val="21"/>
                                  <w:lang w:eastAsia="en-AU"/>
                                </w:rPr>
                                <w:t>’).</w:t>
                              </w:r>
                            </w:p>
                            <w:bookmarkStart w:id="13" w:name="_ftn4"/>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"_ftnref4"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[4]</w:t>
                              </w:r>
                              <w:r w:rsidRPr="00B76250">
                                <w:rPr>
                                  <w:rFonts w:ascii="Arial" w:eastAsia="Times New Roman" w:hAnsi="Arial" w:cs="Arial"/>
                                  <w:color w:val="414141"/>
                                  <w:sz w:val="21"/>
                                  <w:szCs w:val="21"/>
                                  <w:lang w:eastAsia="en-AU"/>
                                </w:rPr>
                                <w:fldChar w:fldCharType="end"/>
                              </w:r>
                              <w:bookmarkEnd w:id="13"/>
                              <w:r w:rsidRPr="00B76250">
                                <w:rPr>
                                  <w:rFonts w:ascii="Arial" w:eastAsia="Times New Roman" w:hAnsi="Arial" w:cs="Arial"/>
                                  <w:color w:val="414141"/>
                                  <w:sz w:val="21"/>
                                  <w:szCs w:val="21"/>
                                  <w:lang w:eastAsia="en-AU"/>
                                </w:rPr>
                                <w:t> Ibid [50]-[51].</w:t>
                              </w:r>
                            </w:p>
                            <w:bookmarkStart w:id="14" w:name="_ftn5"/>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"_ftnref5"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[5]</w:t>
                              </w:r>
                              <w:r w:rsidRPr="00B76250">
                                <w:rPr>
                                  <w:rFonts w:ascii="Arial" w:eastAsia="Times New Roman" w:hAnsi="Arial" w:cs="Arial"/>
                                  <w:color w:val="414141"/>
                                  <w:sz w:val="21"/>
                                  <w:szCs w:val="21"/>
                                  <w:lang w:eastAsia="en-AU"/>
                                </w:rPr>
                                <w:fldChar w:fldCharType="end"/>
                              </w:r>
                              <w:bookmarkEnd w:id="14"/>
                              <w:r w:rsidRPr="00B76250">
                                <w:rPr>
                                  <w:rFonts w:ascii="Arial" w:eastAsia="Times New Roman" w:hAnsi="Arial" w:cs="Arial"/>
                                  <w:color w:val="414141"/>
                                  <w:sz w:val="21"/>
                                  <w:szCs w:val="21"/>
                                  <w:lang w:eastAsia="en-AU"/>
                                </w:rPr>
                                <w:t> Hayford, Owen 2005 ‘Project Insights: Drafting and Negotiating Indemnities’, &lt;</w:t>
                              </w:r>
                              <w:hyperlink r:id="rId11" w:history="1">
                                <w:r w:rsidRPr="00B76250">
                                  <w:rPr>
                                    <w:rFonts w:ascii="Arial" w:eastAsia="Times New Roman" w:hAnsi="Arial" w:cs="Arial"/>
                                    <w:color w:val="2A3994"/>
                                    <w:sz w:val="21"/>
                                    <w:szCs w:val="21"/>
                                    <w:u w:val="single"/>
                                    <w:lang w:eastAsia="en-AU"/>
                                  </w:rPr>
                                  <w:t>http://www.claytonutz.com/publications/newsletters/projects_insights/20051108/drafting_and_negotiating_indemnities.page</w:t>
                                </w:r>
                              </w:hyperlink>
                              <w:r w:rsidRPr="00B76250">
                                <w:rPr>
                                  <w:rFonts w:ascii="Arial" w:eastAsia="Times New Roman" w:hAnsi="Arial" w:cs="Arial"/>
                                  <w:color w:val="414141"/>
                                  <w:sz w:val="21"/>
                                  <w:szCs w:val="21"/>
                                  <w:lang w:eastAsia="en-AU"/>
                                </w:rPr>
                                <w:t>&gt;.</w:t>
                              </w:r>
                            </w:p>
                            <w:bookmarkStart w:id="15" w:name="_ftn6"/>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"_ftnref6"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[6]</w:t>
                              </w:r>
                              <w:r w:rsidRPr="00B76250">
                                <w:rPr>
                                  <w:rFonts w:ascii="Arial" w:eastAsia="Times New Roman" w:hAnsi="Arial" w:cs="Arial"/>
                                  <w:color w:val="414141"/>
                                  <w:sz w:val="21"/>
                                  <w:szCs w:val="21"/>
                                  <w:lang w:eastAsia="en-AU"/>
                                </w:rPr>
                                <w:fldChar w:fldCharType="end"/>
                              </w:r>
                              <w:bookmarkEnd w:id="15"/>
                              <w:r w:rsidRPr="00B76250">
                                <w:rPr>
                                  <w:rFonts w:ascii="Arial" w:eastAsia="Times New Roman" w:hAnsi="Arial" w:cs="Arial"/>
                                  <w:color w:val="414141"/>
                                  <w:sz w:val="21"/>
                                  <w:szCs w:val="21"/>
                                  <w:lang w:eastAsia="en-AU"/>
                                </w:rPr>
                                <w:t> </w:t>
                              </w:r>
                              <w:r w:rsidRPr="00B76250">
                                <w:rPr>
                                  <w:rFonts w:ascii="Arial" w:eastAsia="Times New Roman" w:hAnsi="Arial" w:cs="Arial"/>
                                  <w:i/>
                                  <w:iCs/>
                                  <w:color w:val="414141"/>
                                  <w:sz w:val="21"/>
                                  <w:szCs w:val="21"/>
                                  <w:lang w:eastAsia="en-AU"/>
                                </w:rPr>
                                <w:t>Canty v PaperlinX Australia Pty Ltd </w:t>
                              </w:r>
                              <w:r w:rsidRPr="00B76250">
                                <w:rPr>
                                  <w:rFonts w:ascii="Arial" w:eastAsia="Times New Roman" w:hAnsi="Arial" w:cs="Arial"/>
                                  <w:color w:val="414141"/>
                                  <w:sz w:val="21"/>
                                  <w:szCs w:val="21"/>
                                  <w:lang w:eastAsia="en-AU"/>
                                </w:rPr>
                                <w:t>[2014] NSWCA 309, [40].</w:t>
                              </w:r>
                            </w:p>
                            <w:bookmarkStart w:id="16" w:name="_ftn7"/>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"_ftnref7"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[7]</w:t>
                              </w:r>
                              <w:r w:rsidRPr="00B76250">
                                <w:rPr>
                                  <w:rFonts w:ascii="Arial" w:eastAsia="Times New Roman" w:hAnsi="Arial" w:cs="Arial"/>
                                  <w:color w:val="414141"/>
                                  <w:sz w:val="21"/>
                                  <w:szCs w:val="21"/>
                                  <w:lang w:eastAsia="en-AU"/>
                                </w:rPr>
                                <w:fldChar w:fldCharType="end"/>
                              </w:r>
                              <w:bookmarkEnd w:id="16"/>
                              <w:r w:rsidRPr="00B76250">
                                <w:rPr>
                                  <w:rFonts w:ascii="Arial" w:eastAsia="Times New Roman" w:hAnsi="Arial" w:cs="Arial"/>
                                  <w:color w:val="414141"/>
                                  <w:sz w:val="21"/>
                                  <w:szCs w:val="21"/>
                                  <w:lang w:eastAsia="en-AU"/>
                                </w:rPr>
                                <w:t> Ibid.</w:t>
                              </w:r>
                            </w:p>
                            <w:bookmarkStart w:id="17" w:name="_ftn8"/>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"_ftnref8"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[8]</w:t>
                              </w:r>
                              <w:r w:rsidRPr="00B76250">
                                <w:rPr>
                                  <w:rFonts w:ascii="Arial" w:eastAsia="Times New Roman" w:hAnsi="Arial" w:cs="Arial"/>
                                  <w:color w:val="414141"/>
                                  <w:sz w:val="21"/>
                                  <w:szCs w:val="21"/>
                                  <w:lang w:eastAsia="en-AU"/>
                                </w:rPr>
                                <w:fldChar w:fldCharType="end"/>
                              </w:r>
                              <w:bookmarkEnd w:id="17"/>
                              <w:r w:rsidRPr="00B76250">
                                <w:rPr>
                                  <w:rFonts w:ascii="Arial" w:eastAsia="Times New Roman" w:hAnsi="Arial" w:cs="Arial"/>
                                  <w:color w:val="414141"/>
                                  <w:sz w:val="21"/>
                                  <w:szCs w:val="21"/>
                                  <w:lang w:eastAsia="en-AU"/>
                                </w:rPr>
                                <w:t> </w:t>
                              </w:r>
                              <w:r w:rsidRPr="00B76250">
                                <w:rPr>
                                  <w:rFonts w:ascii="Arial" w:eastAsia="Times New Roman" w:hAnsi="Arial" w:cs="Arial"/>
                                  <w:i/>
                                  <w:iCs/>
                                  <w:color w:val="414141"/>
                                  <w:sz w:val="21"/>
                                  <w:szCs w:val="21"/>
                                  <w:lang w:eastAsia="en-AU"/>
                                </w:rPr>
                                <w:t>Caltex</w:t>
                              </w:r>
                              <w:r w:rsidRPr="00B76250">
                                <w:rPr>
                                  <w:rFonts w:ascii="Arial" w:eastAsia="Times New Roman" w:hAnsi="Arial" w:cs="Arial"/>
                                  <w:color w:val="414141"/>
                                  <w:sz w:val="21"/>
                                  <w:szCs w:val="21"/>
                                  <w:lang w:eastAsia="en-AU"/>
                                </w:rPr>
                                <w:t> [2015] NSWCA 64, [53].</w:t>
                              </w:r>
                            </w:p>
                            <w:bookmarkStart w:id="18" w:name="_ftn9"/>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"_ftnref9"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[9]</w:t>
                              </w:r>
                              <w:r w:rsidRPr="00B76250">
                                <w:rPr>
                                  <w:rFonts w:ascii="Arial" w:eastAsia="Times New Roman" w:hAnsi="Arial" w:cs="Arial"/>
                                  <w:color w:val="414141"/>
                                  <w:sz w:val="21"/>
                                  <w:szCs w:val="21"/>
                                  <w:lang w:eastAsia="en-AU"/>
                                </w:rPr>
                                <w:fldChar w:fldCharType="end"/>
                              </w:r>
                              <w:bookmarkEnd w:id="18"/>
                              <w:r w:rsidRPr="00B76250">
                                <w:rPr>
                                  <w:rFonts w:ascii="Arial" w:eastAsia="Times New Roman" w:hAnsi="Arial" w:cs="Arial"/>
                                  <w:color w:val="414141"/>
                                  <w:sz w:val="21"/>
                                  <w:szCs w:val="21"/>
                                  <w:lang w:eastAsia="en-AU"/>
                                </w:rPr>
                                <w:t> Ibid.</w:t>
                              </w:r>
                            </w:p>
                            <w:bookmarkStart w:id="19" w:name="_ftn10"/>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414141"/>
                                  <w:sz w:val="21"/>
                                  <w:szCs w:val="21"/>
                                  <w:lang w:eastAsia="en-AU"/>
                                </w:rPr>
                                <w:fldChar w:fldCharType="begin"/>
                              </w:r>
                              <w:r w:rsidRPr="00B76250">
                                <w:rPr>
                                  <w:rFonts w:ascii="Arial" w:eastAsia="Times New Roman" w:hAnsi="Arial" w:cs="Arial"/>
                                  <w:color w:val="414141"/>
                                  <w:sz w:val="21"/>
                                  <w:szCs w:val="21"/>
                                  <w:lang w:eastAsia="en-AU"/>
                                </w:rPr>
                                <w:instrText xml:space="preserve"> HYPERLINK "http://us4.campaign-archive2.com/?u=d7ac35d590989fce96f6014e9&amp;id=04bbb38c83" \l "_ftnref10" \o "" </w:instrText>
                              </w:r>
                              <w:r w:rsidRPr="00B76250">
                                <w:rPr>
                                  <w:rFonts w:ascii="Arial" w:eastAsia="Times New Roman" w:hAnsi="Arial" w:cs="Arial"/>
                                  <w:color w:val="414141"/>
                                  <w:sz w:val="21"/>
                                  <w:szCs w:val="21"/>
                                  <w:lang w:eastAsia="en-AU"/>
                                </w:rPr>
                                <w:fldChar w:fldCharType="separate"/>
                              </w:r>
                              <w:r w:rsidRPr="00B76250">
                                <w:rPr>
                                  <w:rFonts w:ascii="Arial" w:eastAsia="Times New Roman" w:hAnsi="Arial" w:cs="Arial"/>
                                  <w:color w:val="2A3994"/>
                                  <w:sz w:val="21"/>
                                  <w:szCs w:val="21"/>
                                  <w:u w:val="single"/>
                                  <w:lang w:eastAsia="en-AU"/>
                                </w:rPr>
                                <w:t>[10]</w:t>
                              </w:r>
                              <w:r w:rsidRPr="00B76250">
                                <w:rPr>
                                  <w:rFonts w:ascii="Arial" w:eastAsia="Times New Roman" w:hAnsi="Arial" w:cs="Arial"/>
                                  <w:color w:val="414141"/>
                                  <w:sz w:val="21"/>
                                  <w:szCs w:val="21"/>
                                  <w:lang w:eastAsia="en-AU"/>
                                </w:rPr>
                                <w:fldChar w:fldCharType="end"/>
                              </w:r>
                              <w:bookmarkEnd w:id="19"/>
                              <w:r w:rsidRPr="00B76250">
                                <w:rPr>
                                  <w:rFonts w:ascii="Arial" w:eastAsia="Times New Roman" w:hAnsi="Arial" w:cs="Arial"/>
                                  <w:color w:val="414141"/>
                                  <w:sz w:val="21"/>
                                  <w:szCs w:val="21"/>
                                  <w:lang w:eastAsia="en-AU"/>
                                </w:rPr>
                                <w:t> Carter, John et al, ‘Contract’ in </w:t>
                              </w:r>
                              <w:r w:rsidRPr="00B76250">
                                <w:rPr>
                                  <w:rFonts w:ascii="Arial" w:eastAsia="Times New Roman" w:hAnsi="Arial" w:cs="Arial"/>
                                  <w:i/>
                                  <w:iCs/>
                                  <w:color w:val="414141"/>
                                  <w:sz w:val="21"/>
                                  <w:szCs w:val="21"/>
                                  <w:lang w:eastAsia="en-AU"/>
                                </w:rPr>
                                <w:t>Halsbury’s</w:t>
                              </w:r>
                              <w:r w:rsidRPr="00B76250">
                                <w:rPr>
                                  <w:rFonts w:ascii="Arial" w:eastAsia="Times New Roman" w:hAnsi="Arial" w:cs="Arial"/>
                                  <w:color w:val="414141"/>
                                  <w:sz w:val="21"/>
                                  <w:szCs w:val="21"/>
                                  <w:lang w:eastAsia="en-AU"/>
                                </w:rPr>
                                <w:t> </w:t>
                              </w:r>
                              <w:r w:rsidRPr="00B76250">
                                <w:rPr>
                                  <w:rFonts w:ascii="Arial" w:eastAsia="Times New Roman" w:hAnsi="Arial" w:cs="Arial"/>
                                  <w:i/>
                                  <w:iCs/>
                                  <w:color w:val="414141"/>
                                  <w:sz w:val="21"/>
                                  <w:szCs w:val="21"/>
                                  <w:lang w:eastAsia="en-AU"/>
                                </w:rPr>
                                <w:t>Laws of Australia</w:t>
                              </w:r>
                              <w:r w:rsidRPr="00B76250">
                                <w:rPr>
                                  <w:rFonts w:ascii="Arial" w:eastAsia="Times New Roman" w:hAnsi="Arial" w:cs="Arial"/>
                                  <w:color w:val="414141"/>
                                  <w:sz w:val="21"/>
                                  <w:szCs w:val="21"/>
                                  <w:lang w:eastAsia="en-AU"/>
                                </w:rPr>
                                <w:t>, [110-995].</w:t>
                              </w:r>
                            </w:p>
                          </w:tc>
                        </w:tr>
                      </w:tbl>
                      <w:p w:rsidR="00B76250" w:rsidRPr="00B76250" w:rsidRDefault="00B76250" w:rsidP="00B76250">
                        <w:pPr>
                          <w:spacing w:after="0" w:line="240" w:lineRule="auto"/>
                          <w:rPr>
                            <w:rFonts w:ascii="Times New Roman" w:eastAsia="Times New Roman" w:hAnsi="Times New Roman" w:cs="Times New Roman"/>
                            <w:sz w:val="24"/>
                            <w:szCs w:val="24"/>
                            <w:lang w:eastAsia="en-AU"/>
                          </w:rPr>
                        </w:pPr>
                      </w:p>
                    </w:tc>
                  </w:tr>
                  <w:tr w:rsidR="00B76250" w:rsidRPr="00B76250">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9027"/>
                        </w:tblGrid>
                        <w:tr w:rsidR="00B76250" w:rsidRPr="00B76250">
                          <w:tc>
                            <w:tcPr>
                              <w:tcW w:w="0" w:type="auto"/>
                              <w:hideMark/>
                            </w:tcPr>
                            <w:p w:rsidR="00B76250" w:rsidRPr="00B76250" w:rsidRDefault="00B76250" w:rsidP="00B76250">
                              <w:pPr>
                                <w:spacing w:after="150" w:line="510" w:lineRule="atLeast"/>
                                <w:outlineLvl w:val="0"/>
                                <w:rPr>
                                  <w:rFonts w:ascii="Arial" w:eastAsia="Times New Roman" w:hAnsi="Arial" w:cs="Arial"/>
                                  <w:color w:val="2A3994"/>
                                  <w:kern w:val="36"/>
                                  <w:sz w:val="51"/>
                                  <w:szCs w:val="51"/>
                                  <w:lang w:eastAsia="en-AU"/>
                                </w:rPr>
                              </w:pPr>
                              <w:r w:rsidRPr="00B76250">
                                <w:rPr>
                                  <w:rFonts w:ascii="Arial" w:eastAsia="Times New Roman" w:hAnsi="Arial" w:cs="Arial"/>
                                  <w:color w:val="2A3994"/>
                                  <w:kern w:val="36"/>
                                  <w:sz w:val="51"/>
                                  <w:szCs w:val="51"/>
                                  <w:lang w:eastAsia="en-AU"/>
                                </w:rPr>
                                <w:lastRenderedPageBreak/>
                                <w:br/>
                              </w:r>
                              <w:r w:rsidRPr="00B76250">
                                <w:rPr>
                                  <w:rFonts w:ascii="Arial" w:eastAsia="Times New Roman" w:hAnsi="Arial" w:cs="Arial"/>
                                  <w:color w:val="2A3994"/>
                                  <w:kern w:val="36"/>
                                  <w:sz w:val="51"/>
                                  <w:szCs w:val="51"/>
                                  <w:lang w:eastAsia="en-AU"/>
                                </w:rPr>
                                <w:br/>
                              </w:r>
                              <w:r w:rsidRPr="00B76250">
                                <w:rPr>
                                  <w:rFonts w:ascii="Arial" w:eastAsia="Times New Roman" w:hAnsi="Arial" w:cs="Arial"/>
                                  <w:color w:val="2A3994"/>
                                  <w:kern w:val="36"/>
                                  <w:sz w:val="51"/>
                                  <w:szCs w:val="51"/>
                                  <w:lang w:eastAsia="en-AU"/>
                                </w:rPr>
                                <w:br/>
                                <w:t>Employee Spotlight</w:t>
                              </w:r>
                            </w:p>
                            <w:p w:rsidR="00B76250" w:rsidRPr="00B76250" w:rsidRDefault="00B76250" w:rsidP="00B76250">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9525" cy="9525"/>
                                    <wp:effectExtent l="0" t="0" r="0" b="0"/>
                                    <wp:docPr id="6" name="Picture 6" descr="http://gallery.mailchimp.com/653153ae841fd11de66ad181a/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llery.mailchimp.com/653153ae841fd11de66ad181a/images/transparen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250" w:rsidRPr="00B76250" w:rsidRDefault="00B76250" w:rsidP="00B76250">
                              <w:pPr>
                                <w:spacing w:after="150" w:line="390" w:lineRule="atLeast"/>
                                <w:outlineLvl w:val="2"/>
                                <w:rPr>
                                  <w:rFonts w:ascii="Arial" w:eastAsia="Times New Roman" w:hAnsi="Arial" w:cs="Arial"/>
                                  <w:color w:val="2A3994"/>
                                  <w:sz w:val="39"/>
                                  <w:szCs w:val="39"/>
                                  <w:lang w:eastAsia="en-AU"/>
                                </w:rPr>
                              </w:pPr>
                              <w:r w:rsidRPr="00B76250">
                                <w:rPr>
                                  <w:rFonts w:ascii="Arial" w:eastAsia="Times New Roman" w:hAnsi="Arial" w:cs="Arial"/>
                                  <w:color w:val="2A3994"/>
                                  <w:sz w:val="39"/>
                                  <w:szCs w:val="39"/>
                                  <w:lang w:eastAsia="en-AU"/>
                                </w:rPr>
                                <w:br/>
                                <w:t>Sally Kim</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b/>
                                  <w:bCs/>
                                  <w:color w:val="414141"/>
                                  <w:sz w:val="21"/>
                                  <w:szCs w:val="21"/>
                                  <w:lang w:eastAsia="en-AU"/>
                                </w:rPr>
                                <w:t>Solicitor</w:t>
                              </w:r>
                              <w:r w:rsidRPr="00B76250">
                                <w:rPr>
                                  <w:rFonts w:ascii="Arial" w:eastAsia="Times New Roman" w:hAnsi="Arial" w:cs="Arial"/>
                                  <w:b/>
                                  <w:bCs/>
                                  <w:color w:val="414141"/>
                                  <w:sz w:val="21"/>
                                  <w:szCs w:val="21"/>
                                  <w:lang w:eastAsia="en-AU"/>
                                </w:rPr>
                                <w:br/>
                              </w:r>
                              <w:r>
                                <w:rPr>
                                  <w:rFonts w:ascii="Arial" w:eastAsia="Times New Roman" w:hAnsi="Arial" w:cs="Arial"/>
                                  <w:b/>
                                  <w:bCs/>
                                  <w:noProof/>
                                  <w:color w:val="414141"/>
                                  <w:sz w:val="21"/>
                                  <w:szCs w:val="21"/>
                                  <w:lang w:eastAsia="en-AU"/>
                                </w:rPr>
                                <w:lastRenderedPageBreak/>
                                <w:drawing>
                                  <wp:inline distT="0" distB="0" distL="0" distR="0">
                                    <wp:extent cx="1905000" cy="3381375"/>
                                    <wp:effectExtent l="0" t="0" r="0" b="9525"/>
                                    <wp:docPr id="5" name="Picture 5" descr="https://gallery.mailchimp.com/d7ac35d590989fce96f6014e9/images/86fd12f2-873d-46bd-b70d-baebf8629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7ac35d590989fce96f6014e9/images/86fd12f2-873d-46bd-b70d-baebf86299d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3381375"/>
                                            </a:xfrm>
                                            <a:prstGeom prst="rect">
                                              <a:avLst/>
                                            </a:prstGeom>
                                            <a:noFill/>
                                            <a:ln>
                                              <a:noFill/>
                                            </a:ln>
                                          </pic:spPr>
                                        </pic:pic>
                                      </a:graphicData>
                                    </a:graphic>
                                  </wp:inline>
                                </w:drawing>
                              </w:r>
                              <w:r w:rsidRPr="00B76250">
                                <w:rPr>
                                  <w:rFonts w:ascii="Arial" w:eastAsia="Times New Roman" w:hAnsi="Arial" w:cs="Arial"/>
                                  <w:b/>
                                  <w:bCs/>
                                  <w:color w:val="414141"/>
                                  <w:sz w:val="21"/>
                                  <w:szCs w:val="21"/>
                                  <w:lang w:eastAsia="en-AU"/>
                                </w:rPr>
                                <w:br/>
                                <w:t>LLB/BA in International Studies (UTS)</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 joined Clive Mills &amp; Associates in June 2015 and I was admitted to Supreme Court of New South Wales on 21 August 2015.</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Property Law and conveyancing have been interests of mine since I started working as a paralegal at Toltz Lawyers back in 2014, a boutique law firm based in Neutral Bay specialising in Property Law. I gained valuable experience at that firm which eventually became a stepping stone for my career. Working at Clive Mills &amp; Associates so far has further widened my knowledge and experience about property law.</w:t>
                              </w:r>
                              <w:r w:rsidRPr="00B76250">
                                <w:rPr>
                                  <w:rFonts w:ascii="Arial" w:eastAsia="Times New Roman" w:hAnsi="Arial" w:cs="Arial"/>
                                  <w:color w:val="414141"/>
                                  <w:sz w:val="21"/>
                                  <w:szCs w:val="21"/>
                                  <w:lang w:eastAsia="en-AU"/>
                                </w:rPr>
                                <w:br/>
                                <w:t> </w:t>
                              </w:r>
                              <w:r w:rsidRPr="00B76250">
                                <w:rPr>
                                  <w:rFonts w:ascii="Arial" w:eastAsia="Times New Roman" w:hAnsi="Arial" w:cs="Arial"/>
                                  <w:color w:val="414141"/>
                                  <w:sz w:val="21"/>
                                  <w:szCs w:val="21"/>
                                  <w:lang w:eastAsia="en-AU"/>
                                </w:rPr>
                                <w:br/>
                                <w:t>I am looking forward to developing ongoing professional relationships with clients using my knowledge, skills and experience here at Clive Mills &amp; Associates.</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t> </w:t>
                              </w:r>
                            </w:p>
                            <w:p w:rsidR="00B76250" w:rsidRPr="00B76250" w:rsidRDefault="00B76250" w:rsidP="00B76250">
                              <w:pPr>
                                <w:spacing w:after="150" w:line="390" w:lineRule="atLeast"/>
                                <w:outlineLvl w:val="2"/>
                                <w:rPr>
                                  <w:rFonts w:ascii="Arial" w:eastAsia="Times New Roman" w:hAnsi="Arial" w:cs="Arial"/>
                                  <w:color w:val="2A3994"/>
                                  <w:sz w:val="39"/>
                                  <w:szCs w:val="39"/>
                                  <w:lang w:eastAsia="en-AU"/>
                                </w:rPr>
                              </w:pPr>
                              <w:r w:rsidRPr="00B76250">
                                <w:rPr>
                                  <w:rFonts w:ascii="Arial" w:eastAsia="Times New Roman" w:hAnsi="Arial" w:cs="Arial"/>
                                  <w:color w:val="2A3994"/>
                                  <w:sz w:val="39"/>
                                  <w:szCs w:val="39"/>
                                  <w:lang w:eastAsia="en-AU"/>
                                </w:rPr>
                                <w:t>Minji Kim</w:t>
                              </w:r>
                              <w:r w:rsidRPr="00B76250">
                                <w:rPr>
                                  <w:rFonts w:ascii="Arial" w:eastAsia="Times New Roman" w:hAnsi="Arial" w:cs="Arial"/>
                                  <w:color w:val="2A3994"/>
                                  <w:sz w:val="39"/>
                                  <w:szCs w:val="39"/>
                                  <w:lang w:eastAsia="en-AU"/>
                                </w:rPr>
                                <w:br/>
                                <w:t> </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b/>
                                  <w:bCs/>
                                  <w:color w:val="414141"/>
                                  <w:sz w:val="21"/>
                                  <w:szCs w:val="21"/>
                                  <w:lang w:eastAsia="en-AU"/>
                                </w:rPr>
                                <w:t>Solicitor</w:t>
                              </w:r>
                              <w:r w:rsidRPr="00B76250">
                                <w:rPr>
                                  <w:rFonts w:ascii="Arial" w:eastAsia="Times New Roman" w:hAnsi="Arial" w:cs="Arial"/>
                                  <w:b/>
                                  <w:bCs/>
                                  <w:color w:val="414141"/>
                                  <w:sz w:val="21"/>
                                  <w:szCs w:val="21"/>
                                  <w:lang w:eastAsia="en-AU"/>
                                </w:rPr>
                                <w:br/>
                              </w:r>
                              <w:r>
                                <w:rPr>
                                  <w:rFonts w:ascii="Arial" w:eastAsia="Times New Roman" w:hAnsi="Arial" w:cs="Arial"/>
                                  <w:b/>
                                  <w:bCs/>
                                  <w:noProof/>
                                  <w:color w:val="414141"/>
                                  <w:sz w:val="21"/>
                                  <w:szCs w:val="21"/>
                                  <w:lang w:eastAsia="en-AU"/>
                                </w:rPr>
                                <w:lastRenderedPageBreak/>
                                <w:drawing>
                                  <wp:inline distT="0" distB="0" distL="0" distR="0">
                                    <wp:extent cx="1905000" cy="2533650"/>
                                    <wp:effectExtent l="0" t="0" r="0" b="0"/>
                                    <wp:docPr id="4" name="Picture 4" descr="https://gallery.mailchimp.com/d7ac35d590989fce96f6014e9/images/61b501bb-ed19-4ee2-a5ca-02e4de12d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d7ac35d590989fce96f6014e9/images/61b501bb-ed19-4ee2-a5ca-02e4de12d7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B76250">
                                <w:rPr>
                                  <w:rFonts w:ascii="Arial" w:eastAsia="Times New Roman" w:hAnsi="Arial" w:cs="Arial"/>
                                  <w:b/>
                                  <w:bCs/>
                                  <w:color w:val="414141"/>
                                  <w:sz w:val="21"/>
                                  <w:szCs w:val="21"/>
                                  <w:lang w:eastAsia="en-AU"/>
                                </w:rPr>
                                <w:br/>
                              </w:r>
                              <w:r w:rsidRPr="00B76250">
                                <w:rPr>
                                  <w:rFonts w:ascii="Arial" w:eastAsia="Times New Roman" w:hAnsi="Arial" w:cs="Arial"/>
                                  <w:b/>
                                  <w:bCs/>
                                  <w:color w:val="414141"/>
                                  <w:sz w:val="21"/>
                                  <w:szCs w:val="21"/>
                                  <w:lang w:eastAsia="en-AU"/>
                                </w:rPr>
                                <w:br/>
                                <w:t>LLB/ BEc</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212121"/>
                                  <w:lang w:eastAsia="en-AU"/>
                                </w:rPr>
                                <w:t>Minji graduated from the University of Sydney in 2014 with a combined Bachelor of Economics and Laws. Minji was admitted as a solicitor to the NSW Supreme Court in July 2015. She joined Clive Mills &amp; Associates in June 2015 and has been assisting the firm's clients in relation to property acquisitions and sales and in commercial litigation.</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Professional Qualifications:</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Admitted to Practice in the State of New South Wales (July 2015)</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Professional Educations:</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Graduate Diploma in Legal Practice (2015) – College of Law</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Bachelor of Laws (2014) – University of Sydney</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Bachelor of Economics (2013) – University of Sydney</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Languages:</w:t>
                              </w:r>
                            </w:p>
                            <w:p w:rsidR="00B76250" w:rsidRPr="00B76250" w:rsidRDefault="00B76250" w:rsidP="00B76250">
                              <w:pPr>
                                <w:shd w:val="clear" w:color="auto" w:fill="FFFFFF"/>
                                <w:spacing w:after="0" w:line="315" w:lineRule="atLeast"/>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 </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English</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Korean</w:t>
                              </w:r>
                            </w:p>
                            <w:p w:rsidR="00B76250" w:rsidRPr="00B76250" w:rsidRDefault="00B76250" w:rsidP="00B76250">
                              <w:pPr>
                                <w:shd w:val="clear" w:color="auto" w:fill="FFFFFF"/>
                                <w:spacing w:after="0" w:line="315" w:lineRule="atLeast"/>
                                <w:ind w:left="720" w:hanging="360"/>
                                <w:rPr>
                                  <w:rFonts w:ascii="Arial" w:eastAsia="Times New Roman" w:hAnsi="Arial" w:cs="Arial"/>
                                  <w:color w:val="414141"/>
                                  <w:sz w:val="21"/>
                                  <w:szCs w:val="21"/>
                                  <w:lang w:eastAsia="en-AU"/>
                                </w:rPr>
                              </w:pPr>
                              <w:r w:rsidRPr="00B76250">
                                <w:rPr>
                                  <w:rFonts w:ascii="Arial" w:eastAsia="Times New Roman" w:hAnsi="Arial" w:cs="Arial"/>
                                  <w:color w:val="212121"/>
                                  <w:lang w:eastAsia="en-AU"/>
                                </w:rPr>
                                <w:t>·</w:t>
                              </w:r>
                              <w:r w:rsidRPr="00B76250">
                                <w:rPr>
                                  <w:rFonts w:ascii="Arial" w:eastAsia="Times New Roman" w:hAnsi="Arial" w:cs="Arial"/>
                                  <w:color w:val="212121"/>
                                  <w:sz w:val="14"/>
                                  <w:szCs w:val="14"/>
                                  <w:lang w:eastAsia="en-AU"/>
                                </w:rPr>
                                <w:t>         </w:t>
                              </w:r>
                              <w:r w:rsidRPr="00B76250">
                                <w:rPr>
                                  <w:rFonts w:ascii="Arial" w:eastAsia="Times New Roman" w:hAnsi="Arial" w:cs="Arial"/>
                                  <w:color w:val="212121"/>
                                  <w:lang w:eastAsia="en-AU"/>
                                </w:rPr>
                                <w:t>Japanese</w:t>
                              </w:r>
                            </w:p>
                            <w:p w:rsidR="00B76250" w:rsidRPr="00B76250" w:rsidRDefault="00B76250" w:rsidP="00B76250">
                              <w:pPr>
                                <w:spacing w:after="150" w:line="390" w:lineRule="atLeast"/>
                                <w:outlineLvl w:val="2"/>
                                <w:rPr>
                                  <w:rFonts w:ascii="Arial" w:eastAsia="Times New Roman" w:hAnsi="Arial" w:cs="Arial"/>
                                  <w:color w:val="2A3994"/>
                                  <w:sz w:val="39"/>
                                  <w:szCs w:val="39"/>
                                  <w:lang w:eastAsia="en-AU"/>
                                </w:rPr>
                              </w:pPr>
                              <w:r w:rsidRPr="00B76250">
                                <w:rPr>
                                  <w:rFonts w:ascii="Arial" w:eastAsia="Times New Roman" w:hAnsi="Arial" w:cs="Arial"/>
                                  <w:color w:val="2A3994"/>
                                  <w:sz w:val="39"/>
                                  <w:szCs w:val="39"/>
                                  <w:lang w:eastAsia="en-AU"/>
                                </w:rPr>
                                <w:br/>
                              </w:r>
                              <w:r w:rsidRPr="00B76250">
                                <w:rPr>
                                  <w:rFonts w:ascii="Arial" w:eastAsia="Times New Roman" w:hAnsi="Arial" w:cs="Arial"/>
                                  <w:color w:val="2A3994"/>
                                  <w:sz w:val="39"/>
                                  <w:szCs w:val="39"/>
                                  <w:lang w:eastAsia="en-AU"/>
                                </w:rPr>
                                <w:br/>
                              </w:r>
                              <w:r w:rsidRPr="00B76250">
                                <w:rPr>
                                  <w:rFonts w:ascii="Arial" w:eastAsia="Times New Roman" w:hAnsi="Arial" w:cs="Arial"/>
                                  <w:color w:val="2A3994"/>
                                  <w:sz w:val="39"/>
                                  <w:szCs w:val="39"/>
                                  <w:lang w:eastAsia="en-AU"/>
                                </w:rPr>
                                <w:br/>
                              </w:r>
                              <w:r w:rsidRPr="00B76250">
                                <w:rPr>
                                  <w:rFonts w:ascii="Arial" w:eastAsia="Times New Roman" w:hAnsi="Arial" w:cs="Arial"/>
                                  <w:color w:val="2A3994"/>
                                  <w:sz w:val="39"/>
                                  <w:szCs w:val="39"/>
                                  <w:lang w:eastAsia="en-AU"/>
                                </w:rPr>
                                <w:lastRenderedPageBreak/>
                                <w:t>Ashley Rihak</w:t>
                              </w:r>
                            </w:p>
                            <w:p w:rsidR="00B76250" w:rsidRPr="00B76250" w:rsidRDefault="00B76250" w:rsidP="00B76250">
                              <w:pPr>
                                <w:spacing w:after="0" w:line="315" w:lineRule="atLeast"/>
                                <w:rPr>
                                  <w:rFonts w:ascii="Arial" w:eastAsia="Times New Roman" w:hAnsi="Arial" w:cs="Arial"/>
                                  <w:color w:val="414141"/>
                                  <w:sz w:val="21"/>
                                  <w:szCs w:val="21"/>
                                  <w:lang w:eastAsia="en-AU"/>
                                </w:rPr>
                              </w:pPr>
                              <w:r w:rsidRPr="00B76250">
                                <w:rPr>
                                  <w:rFonts w:ascii="Arial" w:eastAsia="Times New Roman" w:hAnsi="Arial" w:cs="Arial"/>
                                  <w:b/>
                                  <w:bCs/>
                                  <w:color w:val="414141"/>
                                  <w:sz w:val="21"/>
                                  <w:szCs w:val="21"/>
                                  <w:lang w:eastAsia="en-AU"/>
                                </w:rPr>
                                <w:t>Paralegal</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Pr>
                                  <w:rFonts w:ascii="Arial" w:eastAsia="Times New Roman" w:hAnsi="Arial" w:cs="Arial"/>
                                  <w:noProof/>
                                  <w:color w:val="414141"/>
                                  <w:sz w:val="21"/>
                                  <w:szCs w:val="21"/>
                                  <w:lang w:eastAsia="en-AU"/>
                                </w:rPr>
                                <w:drawing>
                                  <wp:inline distT="0" distB="0" distL="0" distR="0">
                                    <wp:extent cx="1905000" cy="2533650"/>
                                    <wp:effectExtent l="0" t="0" r="0" b="0"/>
                                    <wp:docPr id="3" name="Picture 3" descr="https://gallery.mailchimp.com/d7ac35d590989fce96f6014e9/images/efe5dd86-4c85-48a7-9338-5d32d9ceb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d7ac35d590989fce96f6014e9/images/efe5dd86-4c85-48a7-9338-5d32d9cebb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b/>
                                  <w:bCs/>
                                  <w:color w:val="414141"/>
                                  <w:sz w:val="21"/>
                                  <w:szCs w:val="21"/>
                                  <w:lang w:eastAsia="en-AU"/>
                                </w:rPr>
                                <w:t>BA LLB (honours)</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t> </w:t>
                              </w:r>
                            </w:p>
                            <w:p w:rsidR="00B76250" w:rsidRPr="00B76250" w:rsidRDefault="00B76250" w:rsidP="00B76250">
                              <w:pPr>
                                <w:spacing w:after="160" w:line="315" w:lineRule="atLeast"/>
                                <w:rPr>
                                  <w:rFonts w:ascii="Arial" w:eastAsia="Times New Roman" w:hAnsi="Arial" w:cs="Arial"/>
                                  <w:color w:val="414141"/>
                                  <w:sz w:val="21"/>
                                  <w:szCs w:val="21"/>
                                  <w:lang w:eastAsia="en-AU"/>
                                </w:rPr>
                              </w:pPr>
                              <w:r w:rsidRPr="00B76250">
                                <w:rPr>
                                  <w:rFonts w:ascii="Arial" w:eastAsia="Times New Roman" w:hAnsi="Arial" w:cs="Arial"/>
                                  <w:color w:val="000000"/>
                                  <w:sz w:val="21"/>
                                  <w:szCs w:val="21"/>
                                  <w:lang w:eastAsia="en-AU"/>
                                </w:rPr>
                                <w:t>Ashley graduated from the University of Tasmania in 2014 with a combined Bachelor of Arts and Bachelor Laws degree with honours. Before joining Clive Mills &amp; Associates, he completed legal internships with the Office of the Anti-Discrimination Commissioner in Tasmania and with Alstom Ltd in New South Wales. Currently working as a paralegal, Ashley will be admitted as a solicitor in October 2015.</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t> </w:t>
                              </w:r>
                            </w:p>
                            <w:p w:rsidR="00B76250" w:rsidRPr="00B76250" w:rsidRDefault="00B76250" w:rsidP="00B76250">
                              <w:pPr>
                                <w:spacing w:after="150" w:line="390" w:lineRule="atLeast"/>
                                <w:outlineLvl w:val="2"/>
                                <w:rPr>
                                  <w:rFonts w:ascii="Arial" w:eastAsia="Times New Roman" w:hAnsi="Arial" w:cs="Arial"/>
                                  <w:color w:val="2A3994"/>
                                  <w:sz w:val="39"/>
                                  <w:szCs w:val="39"/>
                                  <w:lang w:eastAsia="en-AU"/>
                                </w:rPr>
                              </w:pPr>
                              <w:r w:rsidRPr="00B76250">
                                <w:rPr>
                                  <w:rFonts w:ascii="Arial" w:eastAsia="Times New Roman" w:hAnsi="Arial" w:cs="Arial"/>
                                  <w:color w:val="2A3994"/>
                                  <w:sz w:val="39"/>
                                  <w:szCs w:val="39"/>
                                  <w:lang w:eastAsia="en-AU"/>
                                </w:rPr>
                                <w:t>Peyton Bernhardt</w:t>
                              </w:r>
                            </w:p>
                            <w:p w:rsidR="00B76250" w:rsidRPr="00B76250" w:rsidRDefault="00B76250" w:rsidP="00B76250">
                              <w:pPr>
                                <w:spacing w:after="160" w:line="315" w:lineRule="atLeast"/>
                                <w:rPr>
                                  <w:rFonts w:ascii="Arial" w:eastAsia="Times New Roman" w:hAnsi="Arial" w:cs="Arial"/>
                                  <w:color w:val="414141"/>
                                  <w:sz w:val="21"/>
                                  <w:szCs w:val="21"/>
                                  <w:lang w:eastAsia="en-AU"/>
                                </w:rPr>
                              </w:pPr>
                              <w:r w:rsidRPr="00B76250">
                                <w:rPr>
                                  <w:rFonts w:ascii="Arial" w:eastAsia="Times New Roman" w:hAnsi="Arial" w:cs="Arial"/>
                                  <w:b/>
                                  <w:bCs/>
                                  <w:color w:val="414141"/>
                                  <w:sz w:val="21"/>
                                  <w:szCs w:val="21"/>
                                  <w:lang w:eastAsia="en-AU"/>
                                </w:rPr>
                                <w:t>Administrative Assistant</w:t>
                              </w:r>
                              <w:r w:rsidRPr="00B76250">
                                <w:rPr>
                                  <w:rFonts w:ascii="Arial" w:eastAsia="Times New Roman" w:hAnsi="Arial" w:cs="Arial"/>
                                  <w:color w:val="414141"/>
                                  <w:sz w:val="21"/>
                                  <w:szCs w:val="21"/>
                                  <w:lang w:eastAsia="en-AU"/>
                                </w:rPr>
                                <w:br/>
                              </w:r>
                              <w:r>
                                <w:rPr>
                                  <w:rFonts w:ascii="Arial" w:eastAsia="Times New Roman" w:hAnsi="Arial" w:cs="Arial"/>
                                  <w:noProof/>
                                  <w:color w:val="414141"/>
                                  <w:sz w:val="21"/>
                                  <w:szCs w:val="21"/>
                                  <w:lang w:eastAsia="en-AU"/>
                                </w:rPr>
                                <w:lastRenderedPageBreak/>
                                <w:drawing>
                                  <wp:inline distT="0" distB="0" distL="0" distR="0">
                                    <wp:extent cx="1905000" cy="3381375"/>
                                    <wp:effectExtent l="0" t="0" r="0" b="9525"/>
                                    <wp:docPr id="2" name="Picture 2" descr="https://gallery.mailchimp.com/d7ac35d590989fce96f6014e9/images/a54d74b2-f268-413e-98d8-aeb3f999c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d7ac35d590989fce96f6014e9/images/a54d74b2-f268-413e-98d8-aeb3f999c10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3381375"/>
                                            </a:xfrm>
                                            <a:prstGeom prst="rect">
                                              <a:avLst/>
                                            </a:prstGeom>
                                            <a:noFill/>
                                            <a:ln>
                                              <a:noFill/>
                                            </a:ln>
                                          </pic:spPr>
                                        </pic:pic>
                                      </a:graphicData>
                                    </a:graphic>
                                  </wp:inline>
                                </w:drawing>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t>Peyton is currently studying a Bachelor of Laws majoring in Corporate and Commercial Law at Macquarie University on a Merit Scholarship. She was recently awarded the Bernard Curran Memorial Prize by the Academic Senate for the most meritorious pass in the New South Wales Higher School Certificate examination in 2014.</w:t>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r>
                              <w:r>
                                <w:rPr>
                                  <w:rFonts w:ascii="Arial" w:eastAsia="Times New Roman" w:hAnsi="Arial" w:cs="Arial"/>
                                  <w:noProof/>
                                  <w:color w:val="414141"/>
                                  <w:sz w:val="21"/>
                                  <w:szCs w:val="21"/>
                                  <w:lang w:eastAsia="en-AU"/>
                                </w:rPr>
                                <w:lastRenderedPageBreak/>
                                <w:drawing>
                                  <wp:inline distT="0" distB="0" distL="0" distR="0">
                                    <wp:extent cx="7620000" cy="5076825"/>
                                    <wp:effectExtent l="0" t="0" r="0" b="9525"/>
                                    <wp:docPr id="1" name="Picture 1" descr="https://gallery.mailchimp.com/d7ac35d590989fce96f6014e9/images/bee66036-13ba-4457-b6c5-a01c75ba2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d7ac35d590989fce96f6014e9/images/bee66036-13ba-4457-b6c5-a01c75ba25c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r w:rsidRPr="00B76250">
                                <w:rPr>
                                  <w:rFonts w:ascii="Arial" w:eastAsia="Times New Roman" w:hAnsi="Arial" w:cs="Arial"/>
                                  <w:color w:val="414141"/>
                                  <w:sz w:val="21"/>
                                  <w:szCs w:val="21"/>
                                  <w:lang w:eastAsia="en-AU"/>
                                </w:rPr>
                                <w:br/>
                              </w:r>
                              <w:r w:rsidRPr="00B76250">
                                <w:rPr>
                                  <w:rFonts w:ascii="Arial" w:eastAsia="Times New Roman" w:hAnsi="Arial" w:cs="Arial"/>
                                  <w:color w:val="414141"/>
                                  <w:sz w:val="21"/>
                                  <w:szCs w:val="21"/>
                                  <w:lang w:eastAsia="en-AU"/>
                                </w:rPr>
                                <w:br/>
                                <w:t> </w:t>
                              </w:r>
                            </w:p>
                          </w:tc>
                        </w:tr>
                      </w:tbl>
                      <w:p w:rsidR="00B76250" w:rsidRPr="00B76250" w:rsidRDefault="00B76250" w:rsidP="00B76250">
                        <w:pPr>
                          <w:spacing w:after="0" w:line="240" w:lineRule="auto"/>
                          <w:rPr>
                            <w:rFonts w:ascii="Times New Roman" w:eastAsia="Times New Roman" w:hAnsi="Times New Roman" w:cs="Times New Roman"/>
                            <w:sz w:val="24"/>
                            <w:szCs w:val="24"/>
                            <w:lang w:eastAsia="en-AU"/>
                          </w:rPr>
                        </w:pPr>
                      </w:p>
                    </w:tc>
                  </w:tr>
                </w:tbl>
                <w:p w:rsidR="00B76250" w:rsidRPr="00B76250" w:rsidRDefault="00B76250" w:rsidP="00B76250">
                  <w:pPr>
                    <w:spacing w:after="0" w:line="240" w:lineRule="auto"/>
                    <w:rPr>
                      <w:rFonts w:ascii="Times New Roman" w:eastAsia="Times New Roman" w:hAnsi="Times New Roman" w:cs="Times New Roman"/>
                      <w:sz w:val="24"/>
                      <w:szCs w:val="24"/>
                      <w:lang w:eastAsia="en-AU"/>
                    </w:rPr>
                  </w:pPr>
                </w:p>
              </w:tc>
            </w:tr>
          </w:tbl>
          <w:p w:rsidR="00B76250" w:rsidRPr="00B76250" w:rsidRDefault="00B76250" w:rsidP="00B76250">
            <w:pPr>
              <w:spacing w:after="0" w:line="240" w:lineRule="auto"/>
              <w:jc w:val="center"/>
              <w:rPr>
                <w:rFonts w:ascii="Times New Roman" w:eastAsia="Times New Roman" w:hAnsi="Times New Roman" w:cs="Times New Roman"/>
                <w:color w:val="000000"/>
                <w:sz w:val="27"/>
                <w:szCs w:val="27"/>
                <w:lang w:eastAsia="en-AU"/>
              </w:rPr>
            </w:pPr>
          </w:p>
        </w:tc>
      </w:tr>
    </w:tbl>
    <w:p w:rsidR="00EF389A" w:rsidRDefault="00EF389A">
      <w:bookmarkStart w:id="20" w:name="_GoBack"/>
      <w:bookmarkEnd w:id="20"/>
    </w:p>
    <w:sectPr w:rsidR="00EF38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32A15"/>
    <w:multiLevelType w:val="multilevel"/>
    <w:tmpl w:val="4D041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047C86"/>
    <w:multiLevelType w:val="multilevel"/>
    <w:tmpl w:val="EF8E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8D4FC5"/>
    <w:multiLevelType w:val="multilevel"/>
    <w:tmpl w:val="0D66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936E56"/>
    <w:multiLevelType w:val="multilevel"/>
    <w:tmpl w:val="41CA5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lvlOverride w:ilvl="0">
      <w:startOverride w:val="2"/>
    </w:lvlOverride>
  </w:num>
  <w:num w:numId="3">
    <w:abstractNumId w:val="1"/>
    <w:lvlOverride w:ilvl="0">
      <w:startOverride w:val="3"/>
    </w:lvlOverride>
  </w:num>
  <w:num w:numId="4">
    <w:abstractNumId w:val="3"/>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250"/>
    <w:rsid w:val="00B76250"/>
    <w:rsid w:val="00EF3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4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62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B7625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50"/>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76250"/>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B76250"/>
    <w:rPr>
      <w:b/>
      <w:bCs/>
    </w:rPr>
  </w:style>
  <w:style w:type="character" w:styleId="Emphasis">
    <w:name w:val="Emphasis"/>
    <w:basedOn w:val="DefaultParagraphFont"/>
    <w:uiPriority w:val="20"/>
    <w:qFormat/>
    <w:rsid w:val="00B76250"/>
    <w:rPr>
      <w:i/>
      <w:iCs/>
    </w:rPr>
  </w:style>
  <w:style w:type="character" w:customStyle="1" w:styleId="apple-converted-space">
    <w:name w:val="apple-converted-space"/>
    <w:basedOn w:val="DefaultParagraphFont"/>
    <w:rsid w:val="00B76250"/>
  </w:style>
  <w:style w:type="character" w:styleId="Hyperlink">
    <w:name w:val="Hyperlink"/>
    <w:basedOn w:val="DefaultParagraphFont"/>
    <w:uiPriority w:val="99"/>
    <w:semiHidden/>
    <w:unhideWhenUsed/>
    <w:rsid w:val="00B76250"/>
    <w:rPr>
      <w:color w:val="0000FF"/>
      <w:u w:val="single"/>
    </w:rPr>
  </w:style>
  <w:style w:type="paragraph" w:styleId="NormalWeb">
    <w:name w:val="Normal (Web)"/>
    <w:basedOn w:val="Normal"/>
    <w:uiPriority w:val="99"/>
    <w:unhideWhenUsed/>
    <w:rsid w:val="00B762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7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2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62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B7625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50"/>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76250"/>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B76250"/>
    <w:rPr>
      <w:b/>
      <w:bCs/>
    </w:rPr>
  </w:style>
  <w:style w:type="character" w:styleId="Emphasis">
    <w:name w:val="Emphasis"/>
    <w:basedOn w:val="DefaultParagraphFont"/>
    <w:uiPriority w:val="20"/>
    <w:qFormat/>
    <w:rsid w:val="00B76250"/>
    <w:rPr>
      <w:i/>
      <w:iCs/>
    </w:rPr>
  </w:style>
  <w:style w:type="character" w:customStyle="1" w:styleId="apple-converted-space">
    <w:name w:val="apple-converted-space"/>
    <w:basedOn w:val="DefaultParagraphFont"/>
    <w:rsid w:val="00B76250"/>
  </w:style>
  <w:style w:type="character" w:styleId="Hyperlink">
    <w:name w:val="Hyperlink"/>
    <w:basedOn w:val="DefaultParagraphFont"/>
    <w:uiPriority w:val="99"/>
    <w:semiHidden/>
    <w:unhideWhenUsed/>
    <w:rsid w:val="00B76250"/>
    <w:rPr>
      <w:color w:val="0000FF"/>
      <w:u w:val="single"/>
    </w:rPr>
  </w:style>
  <w:style w:type="paragraph" w:styleId="NormalWeb">
    <w:name w:val="Normal (Web)"/>
    <w:basedOn w:val="Normal"/>
    <w:uiPriority w:val="99"/>
    <w:unhideWhenUsed/>
    <w:rsid w:val="00B762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7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2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85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nsw.gov.au/fragview/inforce/act+6+1919+pt.4-div.9+0+N?tocnav=y" TargetMode="External"/><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laytonutz.com/publications/newsletters/projects_insights/20051108/drafting_and_negotiating_indemnities.page"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2308</Words>
  <Characters>13158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 Legal1</dc:creator>
  <cp:lastModifiedBy>Para Legal1</cp:lastModifiedBy>
  <cp:revision>1</cp:revision>
  <dcterms:created xsi:type="dcterms:W3CDTF">2016-08-23T01:20:00Z</dcterms:created>
  <dcterms:modified xsi:type="dcterms:W3CDTF">2016-08-23T01:20:00Z</dcterms:modified>
</cp:coreProperties>
</file>